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675 vom 10. September 2015</w:t>
      </w:r>
    </w:p>
    <w:p>
      <w:r>
        <w:t>VD Tribunal cantonal, 2015-09-10, FR</w:t>
      </w:r>
    </w:p>
    <w:p>
      <w:r>
        <w:rPr>
          <w:b/>
        </w:rPr>
        <w:t xml:space="preserve">Quelle: </w:t>
      </w:r>
      <w:r>
        <w:t>https://mcp.opencaselaw.ch/entscheid/vd_findinfo_HC___2015___675</w:t>
      </w:r>
    </w:p>
    <w:p>
      <w:r>
        <w:t>FR: VD_FINDINFO HC / 2015 / 675 du 10 septembre 2015</w:t>
      </w:r>
    </w:p>
    <w:p>
      <w:r>
        <w:t>IT: VD_FINDINFO HC / 2015 / 675 del 10 settembre 2015</w:t>
      </w:r>
    </w:p>
    <w:p>
      <w:pPr>
        <w:pStyle w:val="Heading2"/>
      </w:pPr>
      <w:r>
        <w:t>Regeste</w:t>
      </w:r>
    </w:p>
    <w:p>
      <w:r>
        <w:t>CONTRAT D'ENTREPRISE, RÉSILIATION, EXPERTISE | 108 ch. 1 CO, 108 CO, 366 al. 1 CO, 366 al. 2 CO, 366 CO, 377 CO</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Si le dernier jour du délai est un samedi, un dimanche ou un jour férié reconnu par le droit fédéral ou le droit cantonal du siège du tribunal, le délai expire le premier jour ouvrable qui suit (art. 142 al. 3 CPC). Interjeté en temps utile (art. 311 al. 1 et 142 al. 3 CPC), par une partie qui y a un intérêt (art. 59 al. 2 let. a CPC), dans une cause patrimoniale dont la valeur litigieuse est supérieure à 10’000 fr., l’appel est recevable.</w:t>
      </w:r>
    </w:p>
    <w:p>
      <w:r>
        <w:rPr>
          <w:b/>
        </w:rPr>
        <w:t>E. 2</w:t>
      </w:r>
    </w:p>
    <w:p>
      <w:r>
        <w:t>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L’appelant doit expliquer en quoi son argumentation peut influer sur la solution retenue par les premiers juges (TF 4A_659/2011 du 7 décembre 2011 c. 3 et 4, in RSPC 2012 p. 128, SJ 2012 I 231; TF 5A_438/2012 du 27 août 2012 c. 2.2, in RSPC 2013 p. 29; TF 4A_474/2013 du 10 mars 2014 c. 3.1). Dans la mesure où l'instance d'appel assure la continuation du procès de première instance, elle doit user du même type de procédure et des mêmes maximes que celles applicables devant la juridiction précédente (Jeandin, op. cit., n. 6 ad art. 316 CPC).</w:t>
      </w:r>
    </w:p>
    <w:p>
      <w:r>
        <w:rPr>
          <w:b/>
        </w:rPr>
        <w:t>E. 3</w:t>
      </w:r>
    </w:p>
    <w:p>
      <w:r>
        <w:t>CPC-VD).</w:t>
      </w:r>
    </w:p>
    <w:p>
      <w:r>
        <w:rPr>
          <w:b/>
        </w:rPr>
        <w:t>E. 3.1</w:t>
      </w:r>
    </w:p>
    <w:p>
      <w:r>
        <w:t>La loi prévoit des situations précises où le maître est en droit de se départir du contrat.</w:t>
      </w:r>
    </w:p>
    <w:p>
      <w:r>
        <w:rPr>
          <w:b/>
        </w:rPr>
        <w:t>E. 3.1.1</w:t>
      </w:r>
    </w:p>
    <w:p>
      <w:r>
        <w:t>Tel est le cas lorsque l’entrepreneur ne commence pas l’ouvrage à temps, en diffère l’exécution ou lorsque le retard est tel que, selon toute prévision, l’entrepreneur ne pourra plus achever l’ouvrage pour l’époque fixée (art. 366 al. 1 CO). S'il y a un retard dans l'exécution de l'ouvrage au sens de l'une des trois hypothèses précitées, le maître peut se départir du contrat de manière anticipée s'il en fait la déclaration immédiate et exercer le droit d'option que lui confère l'art. 107 al. 2 CO (TF 4A_96/2014 du 2 septembre 2014 c. 3.1; ATF 126 III 230 c. 7a/bb). Toutefois, le maître doit fixer à l'entrepreneur un délai supplémentaire convenable pour s'exécuter afin de lui donner une chance de livrer à temps l'ouvrage (art. 107 al. 1 CO), la fixation d'un tel délai n'étant pas nécessaire dans les cas prévus par l'art. 108 CO (TF 4A_96/2014 du 2 septembre 2014 c. 3.1 et les références citées; Chaix, Commentaire romand, Code des Obligations I, 2 e éd., Bâle 2012, n. 15 ad art. 366 CO; Gauch, Le contrat d'entreprise, adaptation française par Benoît Carron, 1999, ch. 675 pp. 201 s [ci-après : Gauch/Carron]). Un droit de résiliation du maître existe également lorsque l’exécution de l’ouvrage est empêchée ou rendue difficile à l’excès par des circonstances extraordinaires (cf. art. 337 al. 2 CO; CACI 19 mars 2014/137 c. 6/bb). Lorsque les conditions de l'art. 366 al. 1 sont réalisées, le maître peut se départir du contrat s'il en fait la déclaration immédiate. Cette résolution anticipée, qui suit les règles générales des art. 107 à 109 CO, est un cas d'application de l'art. 109 CO. Selon cette dernière disposition, le maître peut refuser tout paiement (même pour la partie déjà exécutée de l'ouvrage) et récupérer ce qu'il a déjà payé. En contrepartie, il perd sa prétention en livraison et doit restituer les parties d'ouvrages déjà exécutées. La restitution de prestations déjà exécutées dans le cadre de contrats de durée pose des problèmes délicats (Chaix, op. cit., n. 20 ad art. 366 CO et les références citées). Selon la jurisprudence et la doctrine, si l'entrepreneur a déjà commencé à exécuter l'ouvrage au moment où le maître veut se départir du contrat, ce dernier est libre de préférer la résiliation (effet ex nunc) à la résolution (effet ex tunc) du contrat (Chaix, op. cit., n. 21 ad art. 366 CO; Gauch/Carron, op. cit., n. 685 p. 205). En l'absence de liquidation rétroactive du contrat, le maître paiera alors le travail fourni et exigera l’ouvrage tel qu’il est (Gauch/Carron, ibid.; ATF 116 II 452 c. 2/aa, JT 1991 I 184). Dans ses conséquences juridiques, cette hypothèse est à assimiler à celle où c'est l'ouvrage achevé qui est accepté. Le maître dispose des mêmes droits découlant des défauts (ATF 116 II 452 précité c. 2/b/aa, JT 1991 I 184). Si le maître exige ce mode d'extinction, son retrait constitue matériellement une résiliation qui ne conduit pas à la liquidation rétroactive du contrat mais libère l'entrepreneur de son obligation d'achever l'ouvrage et le maître de son obligation de rémunérer le travail restant (Gauch/Carron, op. cit., n. 686 pp. 205 s). Si, au moment de la résiliation du contrat, le maître a payé plus que ce qu'il devait, il a droit à la restitution de ce qui a été payé en trop. A l'instar du droit de répétition de l'art. 109 al. 1 CO, ce droit de restitution est de nature contractuelle et ne découle pas des règles sur l'enrichissement illégitime (Gauch/Carron, op. cit., n. 687 p. 206). En définitive, le maître qui met fin au contrat « ex nunc » (et non « ex tunc ») en application des dispositions relatives à la demeure (art. 107 al. 2 ou art. 366 al. 1 CO) doit rémunérer le travail déjà accompli (cf. c. 3.1.4 infra), dans la mesure où les prestations contractuelles de l’entrepreneur ont été intégrées à la partie de l’ouvrage exécutée ou sont utilisables par le maître, mais n'a aucune obligation d'indemniser complètement l'entrepreneur comme c'est le cas lorsque la résiliation intervient selon l'art. 377 CO (Gauch/Carron, op. cit., nn. 685, 687 et 689 pp. 205 s; c. 3.1.3 infra). Le cas échéant, l’entrepreneur est tenu, aux conditions de l’art. 109 al. 2 CO, de réparer l’intérêt négatif, soit la perte que subit le maître du fait de la confiance qu’il a placée dans l’exécution complète du contrat. Cette obligation d’indemniser doit être distinguée d’une éventuelle responsabilité pour les défauts (Gauch/Carron, op. cit., n. 689 p. 206 et la références citées).</w:t>
      </w:r>
    </w:p>
    <w:p>
      <w:r>
        <w:rPr>
          <w:b/>
        </w:rPr>
        <w:t>E. 3.1.2</w:t>
      </w:r>
    </w:p>
    <w:p>
      <w:r>
        <w:t>D'après l'art. 366 al. 2 CO, s'il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Cette disposition régit un cas d'exécution par substitution, sans qu'il soit nécessaire de requérir au préalable une autorisation du juge (ATF 126 III 230 c. 7a). Il faut ainsi en premier lieu qu’existe la certitude d’une mauvaise exécution de l’ouvrage. L’art. 366 al. 2 CO s’applique même lorsque le défaut s’annonce déjà avant le début de l’exécution. La prévisibilité d’une exécution défectueuse est donnée lorsque, au stade de l’exécution, on reconnaît de manière certaine que l’ouvrage achevé sera entaché d’un défaut. L’exécution contraire à la convention vise les cas de mauvaises exécutions non visés par les défauts, telles les situations de retard d’exécution (art. 366 al. 1 CO). La certitude doit relever de constats objectifs et raisonnables (Chaix, op. cit., n. 28 et 29 ad art. 366 CO). Lorsque le défaut est prévisible, la deuxième condition de la faute de l’entrepreneur n’est pas exigée; il suffit alors que le défaut ne soit pas le fait du maître. En revanche, lorsque l’exécution s’annonce contraire à la convention, la référence à la faute conserve toute sa portée (Chaix, op. cit., n. 31 et 32 ad art. 366 CO). S’agissant de la troisième condition posée à l’art. 366 al. 2 CO, la simple fixation d’un délai par le maître n’est pas suffisante. La menace de l’exécution par un tiers est nécessaire, l’entrepreneur devant être informé des conséquences de son éventuelle passivité. Le maître doit donc obligatoirement fixer à l'entrepreneur – sous la réserve des cas décrits à l'art. 108 CO – un délai d'exécution convenable et le menacer qu'à l'échéance du délai, s'il ne réagit pas, il fera appel aux services d'un tiers (Zindel/Pulver, Basler Kommentar, Obligationenrecht vol. I, 5 e éd., 2011, n. 36 ad art. 366 CO; Chaix, op. cit., nn. 33 et 34 ad art. 366 CO). La fixation d’un délai n’est pas nécessaire lorsqu’il apparaît que cette mesure serait sans effet, par exemple si l’entrepreneur se révèle d’emblée totalement incapable d’éliminer le défaut ou s’il manifeste, expressément ou par actes concluants, qu’il n’entend rien modifier à la situation (Chaix, op. cit., n. 33 et 34 CO).</w:t>
      </w:r>
    </w:p>
    <w:p>
      <w:r>
        <w:rPr>
          <w:b/>
        </w:rPr>
        <w:t>E. 3.1.3</w:t>
      </w:r>
    </w:p>
    <w:p>
      <w:r>
        <w:t>Il incombe au maître de démontrer la réalisation des conditions d'application tant de l'art. 366 al. 1 CO que de l'art. 366 al. 2 CO (Zindel/Pulver, op. cit., n. 43 ad art. 366 CO; Chaix, op. cit., n. 42 ad art. 366 CO). En outre, le créancier qui entend faire application de l'art. 108 CO supporte le fardeau de la preuve (art. 8 CC), qui comporte un certain degré d'incertitude. Il en résulte une insécurité que le créancier ne peut souvent éviter qu'en prenant néanmoins la précaution de fixer préalablement un délai de grâce de durée convenable conformément à l'art. 107 al. 1 CO. En dehors des cas de l'annonce faite par le débiteur de manière claire et définitive qu'il ne peut ou ne veut pas s'exécuter et du retard pris par ce dernier dans une mesure telle que l'exécution de son obligation ne pourrait intervenir dans le délai convenable de l'art. 107 al. 1 CO, l'appréciation du juge de l'attitude du débiteur donne lieu à un pronostic rétrospectif qui n'est pas exempt d'aléas pour le créancier. En cas de doute sur l'attitude du débiteur et lorsque l'état de fait des deux autres hypothèses prévues à l'art. 108 ch. 2 et 3 CO n'est pas réalisé, il est judicieux de fixer un délai supplémentaire de durée convenable (Thévenoz, Commentaire romand, Code des obligations I, 2 e éd., 2012, nn. 1-5 ad art. 108 CO). A cet égard, le Tribunal fédéral a eu l’occasion de préciser que la fixation d'un délai selon les art. 107 al. 1 CO ou 366 al. 2 CO correspondait au régime légal et ordinaire de l'exécution des obligations et que même si l'entrepreneur exécutait l'ouvrage de manière incorrecte, il ne devait normalement pas s'attendre à une rupture du contrat ni à une exécution par substitution, aussi longtemps qu'il n'avait pas reçu de sommation. La résiliation abrupte sans sommation, si elle était prévue par les art. 107 al. 2 CO et 108 CO, notamment dans le cas envisagé par l'art. 108 al. 1 CO, constituait un procédé dérogatoire qui ne pouvait être admis à la légère sauf à dénaturer le régime ordinaire (TF 4A_518/2011 du 21 décembre 2011 c. 5; CREC 5 mars 2012/25I c. 4b).</w:t>
      </w:r>
    </w:p>
    <w:p>
      <w:r>
        <w:rPr>
          <w:b/>
        </w:rPr>
        <w:t>E. 3.1.4</w:t>
      </w:r>
    </w:p>
    <w:p>
      <w:r>
        <w:t>Si les conditions permettant l’une des formes de résiliation unilatérale ne sont pas réalisées, la résiliation du maître doit être interprétée comme une résiliation selon l’art. 377 CO. Selon cette dernière disposition, le maître peut en effet se départir du contrat en manifestant sa volonté à l’entrepreneur, à la seule condition que tous les travaux convenus ne soient pas encore terminés (Chaix, op. cit., nn. 4 et 5 ad art. 377 CO; Gauch, Der Werkvertrag, 2011, n. 524 p. 208), dite résiliation pouvant être manifestée par actes concluants (ATF 129 III 738). Le maître qui résilie le contrat d’entreprise en application de l’art. 377 CO doit payer le travail fait jusqu’au moment de la résiliation et indemniser complètement l’entrepreneur. Il doit indemniser son dommage positif, soit l’intérêt à l’exécution complète, y compris les frais encourus en vain et le bénéfice manqué (TF 4C.393/2006 du 27 avril 2007 c. 3.3; ATF 117 II 273; Gauch, op. cit., nn. 529 ss pp. 210 s). Le montant de la rémunération que le maître doit pour le travail fourni se détermine sur la base du prix contractuel, par exemple sur la base des prix forfaitaires ou unitaires qui ont été convenus (Gauch/Carron, op. cit., n. 537 p. 164 et les références citées). Le recours au prix contractuel se justifie avant tout parce que ce mode de calcul est légitimé par la volonté des parties (ibidem). Si une prestation pour laquelle un prix forfaitaire a été convenu n’est que partiellement exécutée, le maître doit la partie du prix convenu contractuellement qui correspond au rapport existant entre la prestation partielle effectuée et la valeur de la prestation totale (Gauch/Carron, op. cit., n. 538 p. 164). Pour calculer l’indemnité due à l’entrepreneur, la doctrine envisage deux méthodes. La première, soit la méthode dite de déduction, consiste à déduire du prix de l’ouvrage l’économie réalisée par l’entrepreneur du fait qu’il n’a pas terminé les travaux, ainsi que le gain qu’il s’est procuré ailleurs ou qu’il a intentionnellement renoncé à se procurer. La seconde, la méthode dite positive, consiste à établir le total des dépenses réelles de l’entrepreneur pour les travaux exécutés, en y ajoutant son bénéfice brut pour l’ouvrage terminé et les frais encourus en vain (Chaix, op. cit., n. 15 ad art. 377 CO; Gauch, op. cit., nn. 542 ss pp. 215 ss; Gauch/Carron, op. cit., n. 542 ss pp. 164 ss). La doctrine est divisée alors que certains auteurs considèrent que seule la méthode positive respecte le texte légal (Gauch, op. cit., nn. 552 ss pp. 218 s. et les références citées), d’autres estiment que la méthode de déduction doit être maintenue, dès lors qu’elle présente des avantages certains sur le plan de la preuve (Chaix, op. cit., n. 16 ad art. 377 CO; Gilliéron, Les dommages-intérêts contractuels, thèse 2011, pp. 360 ss, spéc. p. 362). Selon la jurisprudence du Tribunal fédéral, dans la mesure où elles reposent sur des données sûres, ces méthodes aboutissent pratiquement au même résultat, si bien que l’entrepreneur doit pouvoir choisir la méthode la plus adaptée selon les circonstances d’espèce, notamment les possibilités de preuve (ATF 96 II 192 c. 5; Chaix, op. cit., n. 16 ad art. 377 CO). Quelle que soit la méthode choisie, l’art. 8 CC s’applique. Il appartient ainsi à l’entrepreneur de démontrer son dommage et les frais et dépenses pour le travail déjà exécuté, alors que le maître doit établir les faits qui ne justifient pas une indemnité de l’entrepreneur (Chaix, op. cit., n. 22 ad art. 377 CO; CACI 19 mars 2014/137 c. 6/cc).</w:t>
      </w:r>
    </w:p>
    <w:p>
      <w:r>
        <w:rPr>
          <w:b/>
        </w:rPr>
        <w:t>E. 3.2</w:t>
      </w:r>
    </w:p>
    <w:p>
      <w:r>
        <w:t>Aux termes de l’art. 4 al. 1 CPC-VD, le juge ne peut fonder son jugement sur d’autres faits que ceux qui ont été alléguées dans l’instance et qui ont été soit admis par les parties, soit établis au cours de l’instruction selon les formes légales. L’alinéa 2 de cette disposition prévoit toutefois que le juge peut notamment tenir compte des faits révélés par une expertise écrite. Il en découle que le juge peut retenir tous faits non allégués résultant d’un rapport d’expertise, et non seulement de nature technique, cela afin d’éviter des réformes (Poudret/Haldy/Tappy, Procédure civile vaudoise annotée, 3 e éd., Lausanne 2002, n. 9 ad art. 4 CPC-VD). Selon l’art. 3 CPC-VD, le juge est lié par les conclusions des parties. En revanche, les plaideurs ne sont pas tenus d’énoncer la cause juridique de leurs conclusions et, s’ils le font, le juge n’est pas restreint par cette indication dans le choix des moyens propres à justifier l’admission de celles-ci (Ibidem, n. 3 ad art.</w:t>
      </w:r>
    </w:p>
    <w:p>
      <w:r>
        <w:rPr>
          <w:b/>
        </w:rPr>
        <w:t>E. 3.3</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ATF 128 I 81 c. 2; Poudret et al., op. cit., n. 1 ad art. 243 CPC-VD).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 4.2;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w:t>
      </w:r>
    </w:p>
    <w:p>
      <w:r>
        <w:rPr>
          <w:b/>
        </w:rPr>
        <w:t>E. 3.4</w:t>
      </w:r>
    </w:p>
    <w:p>
      <w:r>
        <w:t>En l’espèce, les premiers juges ont retenu que l'appelante s'était départie du contrat le 25 août 2008 avec effet immédiat, de sorte que l'intimée, qui n'avait pas livré l'ouvrage achevé, devait être rémunérée « sur la base des travaux effectués », ce qui n’est pas contesté. Il n’est pas non plus contesté que l’appelante, bien qu'invoquant le retard de l’intimée I.________SA dans la livraison de l'ouvrage et le droit de confier sa finalisation à un tiers (art. 366 al. 2 CO), n'a pas fixé à celle-ci un délai convenable pour s'exécuter avant de déclarer se départir du contrat le 25 août 2008 et d’informer l’intéressée, par courrier du 26 août 2008, qu’elle confiait la finalisation des travaux à une tierce entreprise, à ses frais et risques. Elle n'a ainsi d'aucune manière invité l’intimée à corriger, voire supprimer d'éventuels défauts, ni ne lui a imparti un quelconque délai à cet effet. Or, il n’est pas établi que la fixation d’un délai convenable, au sens de l’art. 366 al. 2 CO, n’était pas nécessaire, l’appelante se contentant d’affirmer que « la prévisibilité d’une exécution défectueuse, soit contraire au contrat passé entre les parties (…) était donnée en tout cas à partir du moment où Q.________Sàrl a[vait] notamment interpellé H.________SA par courrier du 13 juin 2008 ». Même si l’on devait interpréter cette déclaration comme une annonce du débiteur rendant superflue la fixation d’un délai supplémentaire au sens des art. 366 al. 2 CO et 108 ch. 1 CO – ce qui n’est du reste pas établi –, on ne pourrait rien en déduire en l’espèce, puisque ce courrier n’émanait pas de l’intimée mais de Q.________Sàrl, laquelle n’avait aucun lien contractuel avec l’appelante (voir également c. 4 infra). En outre, l'appelante ne s’est pas prévalue de l’hypothèse de l’art. 366 al. 1 CO, qui supposait de toute façon également la fixation d’un délai supplémentaire convenable (cf. c. 3.1.1 supra), respectivement la preuve qu’un tel délai était inutile (cf. c. 3.1.3 supra). L’appelante n’a donc pas établi, comme cela lui incombait, que les conditions de l’art. 366 al 1 et/ou 2 CO auraient été réalisées. Dans le cadre de la procédure de première instance, elle a d’ailleurs indiqué qu’elle estimait que l’on ne se trouvait pas dans un cas de résiliation anticipée par le maître (cf. ch. 13 et 15 supra). A cela s’ajoute que, contrairement à ce que soutient l’appelante, la prétendue incapacité totale de l’intimée de donner suite à ses engagements contractuels (allégués 213 et 341) n’a pas été confirmée par l’expert. Ce dernier a indiqué qu’il s’agissait là d’une appréciation, les faits constatés montrant toutefois que l’intéressée avait eu « bien de la peine à exécuter ses prestations contractuelles ». On ne saurait en déduire que l’intimée aurait fait preuve d’une incapacité totale à exécuter ses obligations. L’expert a d’ailleurs finalement confirmé que l’ouvrage avait été exécuté selon les plans, les soumissions et leurs avenants. Les carences de l’intimée ont été précisément analysées, chiffrées et déduites lorsqu’elles étaient justifiées. On doit ainsi admettre que les conséquences de la résiliation – dont fait partie la question litigieuse, qui concerne uniquement la valeur des travaux réalisés – sont régies par l’art. 377 CO. A cet égard, l’intimée a allégué et offert de prouver que l’appelante lui devait un solde de 611'177 fr. 60 pour les travaux qu’elle avait accomplis, se référant à son décompte final (pièce 133) ainsi qu'à la preuve par expertise. Contrairement à ce que soutient l'appelante, l'intimée a donc bien allégué qu'en raison des travaux effectués, l'appelante lui devait un solde, qu’elle a chiffré avec précision. On ne voit ainsi pas en quoi les premiers juges auraient enfreint les règles procédurales applicables en ordonnant qu’un expert se détermine sur cette allégation et en tenant compte de cette expertise dans son appréciation, comme les art. 4 al. 2 in fine CPC-VD et 243 CPC-VD le lui permettaient. L’expert a déterminé la valeur des travaux réalisés par l’intimée I.________SA pour l'appelante en utilisant une méthode s'apparentant à la méthode dite de déduction décrite ci-dessus, consistant à partir du prix contractuel (plus les travaux supplémentaires admis) – soit un total de 1'480'268 fr. 10 (non contesté par l’appelante) – et d'effectuer ensuite les déductions qui se justifiaient, notamment en raison du fait que l'ouvrage « livré » n'avait pas été achevé, de sorte que l’intimée ne pouvait prétendre à l’entier du prix convenu. C'est le lieu de relever que tant l'appelante que l’intimée ont utilisé cette même méthode à l'appui de leurs prétentions respectives, et ce durant l'ensemble de la procédure. Dans ses écritures successives, l'appelante s'est ainsi expressément référée à son décompte final (pièce 143) à l’appui du solde qu’elle estimait lui être dû par l’intimée (cf. ch. 13 supra). A l’instar de la méthode appliquée par l’expert, ce décompte partait du prix contractuel convenu (forfait), auquel s’ajoutaient les «avenants/régies/travaux complémentaires », soit un total de quelque 1'480'268 francs. Toujours selon ce décompte, étaient ensuite déduits les acomptes déjà versés ainsi que d’autres sommes liées à des «déductions » justifiées, selon l’appelante, par les carences de l’entrepreneur. Dès lors que les travaux, pour lesquels un prix forfaitaire avait été convenu entre les parties, n’ont finalement été que partiellement exécutés, c’est à juste titre que l’expert a raisonné de la sorte afin de déterminer la partie du prix convenu contractuellement qui correspondait au rapport existant entre la prestation partielle effectuée et la valeur de la prestation totale. En outre, l’expert a examiné avec précision toutes les déductions qui s’imposaient sur le prix de l’ouvrage (cf. ch. 13 let. b infra), ce qui n’est pas remis en cause à ce stade. L’appelante, qui prétend sans l’établir que l’expert n’aurait «pas examiné le travail », mais uniquement son décompte final, ne démontre de toute manière pas en quoi le résultat de l’expertise serait erroné, respectivement pour quels motifs les premiers juges auraient dû s’en écarter. En outre, conformément aux principes rappelés ci-dessus, dans la mesure où elles reposent sur des données sûres, les différentes méthodes (positive ou par déduction) aboutissent pratiquement au même résultat, si bien que la méthode la plus adaptée selon les circonstances d’espèce, notamment des possibilités de preuve, doit pouvoir être choisie. En présence de plusieurs sous-traitants chargés d’effectuer en partie les travaux confiés à l’intimée, le raisonnement de l’expert – fondé avant tout sur le prix contractuel convenu avec l’appelante – semblait le plus adapté aux circonstances concrètes. Au demeurant, la méthode appliquée revenait, de fait, à déterminer la valeur précise des travaux accomplis par l’intimée, pour lesquels cette dernière pouvait prétendre à une indemnisation de la part de l’appelante. On ne saurait dès lors reprocher aux premiers juges d’avoir fondé leur raisonnement sur l’expertise judiciaire, puisque l’expert a répondu aux questions qui lui ont été posées, que les conclusions de l’expertise ne sont pas contradictoires et qu’elle n’est affectée d’aucun défaut à ce point évident et reconnaissable, même sans connaissances spécifiques, qu’elle aurait dû être écartée (cf. TF 5A_501/2013 du 13 janvier 2014 c. 6.1.3.2 et les références citées).</w:t>
      </w:r>
    </w:p>
    <w:p>
      <w:r>
        <w:rPr>
          <w:b/>
        </w:rPr>
        <w:t>E. 4</w:t>
      </w:r>
    </w:p>
    <w:p>
      <w:r>
        <w:t>L’appelante soutient ensuite que, dans l’hypothèse où les prétentions de l’intimée devaient être considérées comme suffisamment alléguées et prouvées, ses propres conclusions et allégations devraient alors être interprétées «comme une action minutoire avec intérêts compensatoires compte tenu de l’exécution partielle et défectueuse de l’ouvrage », ainsi que cela aurait été confirmé par l’expert dans ses réponses aux allégués 213 et 341. Selon l’appelante, cette action serait fondée sur l’art. 366 al. 2 CO, étant précisé que dès réception du courrier de Q.________Sàrl du 13 juin 2008, elle s’estimait légitimée à considérer que la fixation d’un nouveau délai était inutile, « compte tenu de l’incapacité totale d’I.________SA de donner suite à ses engagements contractuels » . Elle affirme ainsi que l’entier du solde des travaux confiés à E.________Sàrl, soit 357'166 fr. 20 devrait être porté en déduction de toute prétention de l’intimée à son encontre, de sorte que cette dernière serait sa débitrice d’un montant de 107'207 francs. Ainsi que cela a été développé ci-dessus (c. 3.4), il n’est pas établi que les conditions d’une résiliation en vertu de l’art. 366 al. 2 CO étaient réalisées en l’espèce. Au demeurant, les carences de l’intimée ont été précisément analysées, chiffrées et déduites lorsqu’elles étaient justifiées. Ainsi, l’expert a tenu compte, entre autres déductions, d’un montant de 11'010 fr. 30 lié à la mauvaise exécution des raccords sur chapes et d’une pénalité de 118'421 fr. 45 pour le retard accumulé par l’intimée. S’agissant de la déduction opérée en raison des travaux confiés à E.________Sàrl pour finir le chantier, il n’y a pas lieu de s’écarter des considérations de l’expert, reprises par les premiers juges. Seul le prix des travaux de « terminaison » adjugés à E.________Sàrl à hauteur de 37'660 fr. (35'000 fr. + TVA)  doit être admis. Comme l’ont relevé les premiers juges à la suite de l’expert, même si le montant de l’adjudication (35'000 fr.) est largement inférieur à celui que l’appelante a finalement versé à E.________Sàrl, une sous-estimation aussi grossière, émanant de professionnels connaissant parfaitement le chantier, ne saurait être reportée en entier sur l’intimée. L’appelante a d’ailleurs elle-même indiqué, dans son courrier du 17 septembre 2008 adressé à E.________Sàrl, que l’adjudication avait été établie « sur la base des visites sur site, avec (…) Monsieur Y.________, Monsieur Q.________ et [E.________Sàrl]. Les plans d’exécution [lui avaient] été remis et commentés ». Dans ce contexte et faute d’avoir pu contrôler les travaux effectués par E.________Sàrl après la mise à l’écart de l’intimée, l’expert n’a pas pu exclure que des travaux supplémentaires aient été effectués par E.________Sàrl, ce qui expliquerait la différence de prix. Pour le surplus, l’appelante, qui n’a pas transmis d’avis des défauts à l’intimée, n’a pas allégué, ni a fortiori établi qu’E.________Sàrl aurait corrigé des travaux défectueux réalisés par cette dernière. C’est donc à juste titre que les premiers juges ont arrêté la valeur des travaux nécessaires à la finalisation du chantier, non exécutés par l’intimée et, partant, devant être déduits du prix contractuel convenu, à 37'660 francs. Par surabondance, même si l’on devait considérer que les conditions d’une exécution par substitution au sens de l’art. 366 al. 2 CO étaient réalisées, cela ne changerait rien à cette appréciation. L’appelante ne pouvait en effet prétendre au paiement par l’intimée de travaux plus étendus que ceux qui étaient nécessaires à l’achèvement de l’ouvrage concerné.</w:t>
      </w:r>
    </w:p>
    <w:p>
      <w:r>
        <w:rPr>
          <w:b/>
        </w:rPr>
        <w:t>E. 5</w:t>
      </w:r>
    </w:p>
    <w:p>
      <w:r>
        <w:t>Enfin, à défaut d’intérêt pour agir, le dernier grief de l’appelante, qui concerne les prétentions de Q.________Sàrl à l’encontre de l’intimée, est infondé. Au demeurant et contrairement à ce que soutient l’appelante, l’expert a retenu que Q.________Sàrl avait droit à une rémunération excédant le forfait convenu de 280'000 fr., dès lors que les travaux constatés ne pouvaient pas être intégralement compris dans celui-ci. Pour fixer le montant dû, l’expert a considéré qu’il convenait d’appliquer le principe des quantités objectives, soit de se fonder sur les seize mille six cent heures de travail effectuées durant la troisième phase des travaux, du 13 mai 2008 au 25 août 2008, étant précisé que ce total avait été contrôlé en détail et corrigé par l’expert. Cette méthode l’a conduit à retenir un montant global de 834'916 fr. 80 TTC. Après déduction des acomptes déjà versés, il en résultait ainsi un solde de 569'695 fr. 80 TTC dû par I.________SA à Q.________Sàrl. Cela étant, on ne voit pas en quoi les considérations des premiers juges, fondées sur les quantités objectives ressortant de l’expertise, relèveraient d’une constatation inexacte des faits, voire auraient enfreint la procédure applicable en l’espèce.</w:t>
      </w:r>
    </w:p>
    <w:p>
      <w:r>
        <w:rPr>
          <w:b/>
        </w:rPr>
        <w:t>E. 6</w:t>
      </w:r>
    </w:p>
    <w:p>
      <w:r>
        <w:t>Au vu de ce qui précède, l’appel doit être rejeté en application de l’art. 312 al. 1 CPC et le jugement entrepris confirmé. Les frais judiciaires, arrêtés à 4'773 fr. (art. 62 al. 1 et 2 TFJC) seront mis à la charge de l’appelante, qui succombe (art. 106 al. 1 CPC). Les intimées n’ayant pas été invitées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