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673 vom 5. August 2015</w:t>
      </w:r>
    </w:p>
    <w:p>
      <w:r>
        <w:t>VD Tribunal cantonal, 2015-08-05, FR</w:t>
      </w:r>
    </w:p>
    <w:p>
      <w:r>
        <w:rPr>
          <w:b/>
        </w:rPr>
        <w:t xml:space="preserve">Quelle: </w:t>
      </w:r>
      <w:r>
        <w:t>https://mcp.opencaselaw.ch/entscheid/vd_findinfo_HC___2015___673</w:t>
      </w:r>
    </w:p>
    <w:p>
      <w:r>
        <w:t>FR: VD_FINDINFO HC / 2015 / 673 du 5 août 2015</w:t>
      </w:r>
    </w:p>
    <w:p>
      <w:r>
        <w:t>IT: VD_FINDINFO HC / 2015 / 673 del 5 agosto 2015</w:t>
      </w:r>
    </w:p>
    <w:p>
      <w:pPr>
        <w:pStyle w:val="Heading2"/>
      </w:pPr>
      <w:r>
        <w:t>Regeste</w:t>
      </w:r>
    </w:p>
    <w:p>
      <w:r>
        <w:t>MODIFICATION DES CIRCONSTANCES, BASE DU REVENU, MODIFICATION{EN GÉNÉRAL}, MESURE PROVISIONNELLE, DIRECTIVE{INJONCTION}, DÉBITEUR | 177 CC, 179 al. 1 CC</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l’instance d’appel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JT 2010 III 115, spéc. pp. 136-137 ; Jeandin, op. cit., n. 5 ad art. 296 CPC et les références citées). En l’espèce, le litige porte sur une contribution à l’entretien de la famille comprenant des enfants mineurs, de sorte que les pièces produites par l’appelant en procédure d’appel sont recevables. En revanche, pour les motifs exposés ci-après (c. 3d infra), il ne se justifie pas de donner suite à la réquisition de pièces formée par l’appelant et tendant à la production par l’intimée des décisions de taxation fiscale la concernant pour les années 2013 et 2014.</w:t>
      </w:r>
    </w:p>
    <w:p>
      <w:r>
        <w:rPr>
          <w:b/>
        </w:rPr>
        <w:t>E. 3</w:t>
      </w:r>
    </w:p>
    <w:p>
      <w:r>
        <w:t>a) L’appelant soutient que sa baisse de revenus, les nouvelles charges auxquelles il doit faire face ainsi que l’augmentation des revenus de l’intimée depuis le prononcé de l’arrêt du 17 juillet 2014 constituent des faits nouveaux justifiant l’admission de sa requête de mesures provisionnelles du 31 octobre 2014 et une diminution à 2'320 euros de la contribution d’entretien due pour l’entretien des siens. Se fondant sur l’attestation de revenus pour l’année 2014 remise par son employeur le 10 décembre 2014 et celle remise par son employeur le 30 juin 2015 pour les six premiers mois de l’année 2015, il soutient en particulier que son salaire mensuel net se serait élevé à 10'327 euros en 2014, respectivement à 10'261 euros en 2015. L’appelant relève en outre qu’il convient de ne pas prendre en compte les revenus provenant de la location de la vigne, dès lors que ceux-ci sont versés sur un compte commun des parties et entièrement affectés au paiement des intérêts hypothécaires relatifs à la villa de [...]. Pour l’appelant, il y a également lieu de prendre en compte un montant mensuel supplémentaire de 3'570 euros 75 à titre de charges liées à l’entretien des enfants M.________ et H.________. Il soutient en outre que le revenu net de l’intimée doit être arrêté à 6'882 fr. compte tenu d’un salaire mensuel de 7'597 fr. 40 et de la déduction d’acomptes d’impôts qui s’élèvent chaque mois, selon l’appelant, à 714 fr. 85. b)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les références citées ; TF 5A_811/2012 du 18 février 2013 c.3.2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les références citées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 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c) En l’espèce, dès lors que, par arrêt du 17 juillet 2014, les revenus de l’appelant avaient été déterminés sur la base des relevés mensuels et non d’un récapitulatif de l’année précédente, le premier juge a estimé qu’il convenait d’utiliser la même base de comparaison et ainsi de se référer à la fiche de salaire du mois de mars 2015 produite par l’appelant, faisant état d’un revenu net déterminant de 11'637 euros 06. A ce montant, le premier juge a considéré qu’il y avait lieu d’ajouter les revenus locatifs de la vigne, sise à [...], par 144 euros 45, de sorte que les revenus de l’appelant devaient être arrêtés à 11'781 euros 51. Dans la mesure où il avait été considéré dans l’arrêt du 17 juillet 2014 que les diverses allocations perçues par le requérant et sa compagne, déduites des revenus du requérant, couvraient entièrement les besoins des enfants M.________ et H.________, le premier juge a estimé qu’il n’y avait pas lieu de retenir de quelconques frais d’entretien dans le calcul des charges incompressibles du requérant, que ce soit de leur montant de base ou de leurs frais effectifs, dès lors qu’ils existaient manifestement déjà à l’époque et qu’aucun élément ne justifiait de traiter cette question différemment à ce stade. Enfin, pour le premier juge, il y avait lieu de constater, s’agissant des revenus de l’intimée, que ceux-ci n’avaient pas subi de modification significative au cours de ces dernières années, la seule différence résidant dans le fait qu’elle n’était désormais plus soumise à l’imposition à la source. Il fallait ainsi prendre en considération les acomptes dont l’intimée devait désormais s’acquitter et dont le montant s’élevait à 1'645 fr. 60 par mois, soit à un montant comparable à l’impôt à la source qui était préalablement imputé directement sur son salaire. Cette prise en compte permettait de constater que la capacité contributive effective de l’intimée n’était pas différente de celle qui prévalait en juillet 2014. d) Dans son appel, A.________ axe sa démonstration sur les attestations de revenus établies par son employeur, qui contiennent des déductions supplémentaires qui n’apparaissent pas dans les relevés mensuels, ceci alors qu’une telle approche avait été écartée par le premier juge. Il n’expose à cet égard pas en quoi la position du premier juge serait erronée. Par ailleurs, l’appelant ne conteste pas le revenu de 11'637 euros 06 tel qu’arrêté par le premier juge sur la base de sa fiche de salaire du mois de mars 2015 ni les déductions opérées. Il n’y a au surplus pas lieu d’ordonner d’office la production des autres fiches de salaire de l’appelant pour l’année 2015, dès lors qu’il lui revenait de les produire en première instance, ce qu’il s’est abstenu de faire. Enfin, les autres fiches de salaire disponibles pour la période considérée, à savoir celles des mois d’octobre, de novembre et de décembre 2014, font état de montants supérieurs ou, pour le moins, équivalents à ceux retenus par le premier juge, à savoir respectivement 12’668 euros 99 en octobre 2014, 11'488 euros 92 en novembre 2014 et 11'503 euros 61 en décembre 2014. En revanche, il convient de ne pas tenir compte des revenus provenant de la location de la vente de la vigne, sise à [...], l’appelant ayant rendu vraisemblable que ceux-ci, s’élevant à 144 euros 45, sont entièrement affectés au paiement des intérêts hypothécaires relatifs à la villa de [...]. Toutefois, la différence induite n’est pas susceptible d’avoir une influence décisive sur le résultat, dès lors que les revenus de l’appelant, arrêtés à 12'176 euros 21 dans l’arrêt du 17 juillet 2014, sont actuellement de 11'637 euros 06 par mois, qu’ils ont en définitive diminué dans une proportion inférieure à 5% et qu’on ne saurait en conséquence parler d’une modification significative des circonstances. S’agissant des frais d’entretien des enfants M.________ et H.________, c’est à juste titre que le premier juge a estimé, en référence à l’arrêt du 17 juillet 2014, que ces frais d’entretien existaient déjà à cette époque et que les diverses allocations perçues par l’appelant et sa compagne, dont le montant s’élève selon l’appelant à 7'511 euros 80 par mois, couvraient entièrement les besoins des enfants M.________ et H.________. En ce qui concerne les revenus de l’intimée, celle-ci a rendu vraisemblable, par la production du courrier qui lui a été adressé le 28 novembre 2014 par l’Office d’impôt du district de Nyon, devoir s’acquitter d’acomptes d’impôts s’élevant à 1'645 fr. 60 pour l’année 2015. Compte tenu d’un salaire mensuel de 7'597 fr. 40, il s’ensuit que ses revenus doivent être arrêtés à 5'951 fr. 80, soit à un montant très proche de celui de 5'909 fr. retenu dans l’arrêt du 17 juillet 2014, qui tenait également compte de l’imposition de l’intimée, opérée alors à la source. Il est encore relevé, sans que ce point ne soit plaidé par l’appelant, que le Juge délégué s’était fondé dans l’arrêt précité sur le salaire brut de l’intimée sans prendre en compte les éventuels bonus et gratifications que l’intimée était susceptible de recevoir de son employeur, de sorte qu’il n’y a pas non plus lieu de considérer ces éventuels suppléments à ce stade. Il n’est donc pas nécessaire d’ordonner, au stade de la procédure d’appel sur mesures provisionnelles, les décisions de taxation fiscale concernant l’intimée pour les années 2013 et 2014. Compte tenu de ce qui précède, c’est à bon droit que le premier juge a estimé qu’aucun élément nouveau, significatif et durable ne justifiait d’entrer en matière sur une modification du montant de la contribution d’entretien mise à la charge de l’appelant.</w:t>
      </w:r>
    </w:p>
    <w:p>
      <w:r>
        <w:rPr>
          <w:b/>
        </w:rPr>
        <w:t>E. 4</w:t>
      </w:r>
    </w:p>
    <w:p>
      <w:r>
        <w:t>En définitive, l’appel doit être rejeté selon le mode procédural de l’art. 312 al. CPC et l’ordonnance entreprise confirmée. Les frais judiciaires de deuxième instance, arrêtés à 2’000 fr. (art. 63 al. 3 TFJC [tarif des frais judiciaires civils du 28 septembre 2010, RSV 270.11.5]), seront mis à la charge de l’appelant, qui succombe (art. 106 al. 1 CPC). Il n'y a pas lieu d'allouer de dépens à l’intimée, celle-ci n’ayant pas été invitée à se déterminer. Par ces motifs, la Juge déléguée de la Cour d’appel civile du Tribunal cantonal, prononce : I. L’appel est rejeté. II. L’ordonnance est confirmée. III. Les frais judiciaires de deuxième instance, arrêtés à 2'000 fr. (deux mille francs), sont mis à la charge de l’appelant A.________. IV. L’arrêt est exécutoire. La juge déléguée : Le greffier : Du L'arrêt qui précède, dont la rédaction a été approuvée à huis clos, est notifié à : ‑ Me Jacques Michod (pour A.________) ‑ Me Laurent Maire (pour 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