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669 vom 27. August 2015</w:t>
      </w:r>
    </w:p>
    <w:p>
      <w:r>
        <w:t>VD Tribunal cantonal, 2015-08-27, FR</w:t>
      </w:r>
    </w:p>
    <w:p>
      <w:r>
        <w:rPr>
          <w:b/>
        </w:rPr>
        <w:t xml:space="preserve">Quelle: </w:t>
      </w:r>
      <w:r>
        <w:t>https://mcp.opencaselaw.ch/entscheid/vd_findinfo_HC___2015___669</w:t>
      </w:r>
    </w:p>
    <w:p>
      <w:r>
        <w:t>FR: VD_FINDINFO HC / 2015 / 669 du 27 août 2015</w:t>
      </w:r>
    </w:p>
    <w:p>
      <w:r>
        <w:t>IT: VD_FINDINFO HC / 2015 / 669 del 27 agosto 2015</w:t>
      </w:r>
    </w:p>
    <w:p>
      <w:pPr>
        <w:pStyle w:val="Heading2"/>
      </w:pPr>
      <w:r>
        <w:t>Regeste</w:t>
      </w:r>
    </w:p>
    <w:p>
      <w:r>
        <w:t>FILIATION, DÉBUT, OBLIGATION D'ENTRETIEN, PENSION D'ASSISTANCE, ENFANT, ENFANT NÉ HORS MARIAGE, MESURE PROVISIONNELLE | 279 al. 1 CC, 289 al. 1 CC, 295 CC</w:t>
      </w:r>
    </w:p>
    <w:p>
      <w:pPr>
        <w:pStyle w:val="Heading2"/>
      </w:pPr>
      <w:r>
        <w:t>Erwägungen</w:t>
      </w:r>
    </w:p>
    <w:p>
      <w:r>
        <w:rPr>
          <w:b/>
        </w:rPr>
        <w:t>E. 1</w:t>
      </w:r>
    </w:p>
    <w:p>
      <w:r>
        <w:t>L'appel est recevable contre les ordonnances de mesures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Un membre de la Cour d’appel civile statue comme juge unique sur les appels formés contre les décisions sur mesures provisionnelles (art. 84 al. 2 LOJV [Loi d'organisation judiciaire du 12 décembre 1979 ; RS 173.01]). Les ordonnances de mesures provisionnelles étant régies par la procédure sommaire (art. 248 let. d CPC), le délai pour l'introduction de l’appel est de dix jours (art. 314 al. 1 CPC). En l’espèce, formé en temps utile par une partie qui y a intérêt (art. 59 al. 2 let. a CPC) et portant sur une cause dont la valeur litigieuse capitalisée selon l’art. 92 CPC est supérieure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S’agissant des questions relatives aux enfants, la maxime inquisitoire illimitée (art. 296 al. 1 CPC) et, en sus, la maxime d'office (art. 296 al. 2 CPC) sont applicables.</w:t>
      </w:r>
    </w:p>
    <w:p>
      <w:r>
        <w:rPr>
          <w:b/>
        </w:rPr>
        <w:t>E. 3</w:t>
      </w:r>
    </w:p>
    <w:p>
      <w:r>
        <w:t>a) L’appelant conteste le calcul de ses revenus opéré par le premier juge. D’une part, il soutient que la Présidente a sélectionné pour son calcul, de manière arbitraire, les mois où l’appelant avait effectivement perçu un salaire pour son travail pour [...], tout en laissant de côté les mois où il n’avait pas de travail et bénéficiait du revenu d’insertion, d’un montant considérablement moins élevé. D’autre part, le premier juge n’aurait pas pris en compte le fait que l’appelant est au chômage depuis le 15 mars 2015. Il fait enfin valoir qu’il y a lieu de prendre en compte, dans le cadre de la détermination de son minimum vital, d’un montant de 150 fr. à titre de frais de recherches d’emploi. b) Selon l’article 285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Le juge jouit à cet égard d'un large pouvoir d'appréciation. La contribution d’entretien ne doit dépasser les limites de la capacité contributive économique du parent débiteur (ATF 137 III 59 c. 4.2.1), dont le minimum vital au sens du droit des poursuites doit être préservé (ATF 135 III 66). Sauf décision contraire du juge, les allocations pour enfants, les rentes d'assurances sociales et d'autres prestations destinées à l'entretien des enfants, qui reviennent à la personne tenue de pourvoir à son entretien, doivent être versées en sus de la contribution d'entretien (art. 285 al. 2 CC), laquelle doit être versée d'avance, aux époques fixées par le juge (al. 3). Affectées exclusivement à l'entretien de l'enfant, ces prestations ne sont pas prises en compte dans le calcul du revenu du parent qui les reçoit (TF 5A_207/209 du 21 octobre 2009 c. 3.2. ; ATF 128 III 305, c. 4b p. 310). Le juge fixe les contributions d’entretien en se fondant, en principe, sur le revenu net effectif du débirentier. Pour les personnes salariées, le revenu à prendre en compte est la part fixe du salaire net. Celui-ci comprend notamment le treizième salaire, les éventuelles indemnités perte de gain, les gratifications et les pourboires (De Luze/Page/Stoudmann, Droit de la famille, Code annoté, Lausanne 2013, n. 1.33 ad art. 176 CC). Tant le débiteur d’entretien que le créancier peuvent néanmoins se voir imputer un revenu hypothétique supérieur. Il s’agit ainsi d’inciter la personne à réaliser le revenu qu’elle est en mesure de se procurer et dont on peut raisonnablement exiger d’elle qu’elle l’obtienne afin de remplir ses obligations (ATF 128 III 4 c. 4a ; TF 5A_99/2011 du 26 septembre 2011 c. 7.4.1 ; TF 5A_290/2010 du 28 octobre 2010 c. 3.1).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128 III 4 c. 4c/bb ; ATF 126 III 10 c. 2b). Pour arrêter le montant du salaire, le juge peut éventuellement se baser sur l’enquête suisse sur la structure des salaires, réalisée par l’Office fédéral de la statistique, ou sur d’autres sources (ATF 137 III 118 c. 3.2 ; TF 5A_99/2011 du 26 septembre 2011 c. 7.4.1, publié in FamPra.ch 2012 p. 228 ss et les références citées).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 TF 5A_21/2012 du 3 mai 2012 c. 3.3). Les parents doivent ainsi s’adapter tant du point de vue professionnel que du point de vue spatial pour épuiser de manière maximale leur capacité de travail, en sorte que ceux-ci doivent réellement épuiser leur capacité maximale de travail et ne peuvent pas librement choisir de modifier leurs conditions de vie si cela a une influence sur leur capacité à subvenir aux besoins de l’enfant mineur (ATF 137 III 118 c. 3.1 ; TF 5A_513/2012 du 17 octobre 2012 c. 4 ; TF 5A_587/2013 du 26 novembre 2013 c. 6.1.1). Au stade des mesures provisionnelles, la preuve doit se limiter à la vraisemblance (art. 261 al. 1 CPC). Un fait ou un droit est rendu vraisemblable lorsque, au terme d'un examen sommaire, sur la base d'éléments objectifs, ce fait ou ce droit est rendu probable, sans pour autant que la possibilité que les faits aient pu se dérouler autrement ou que la situation juridique se présente différemment soit exclue (Bohnet, Code de procédure civile commenté, Bâle 2011, n. 4 et 6 ad art. 261 CPC). c) En l’espèce, l’appelant n’a pas établi, sous l’angle de la vraisemblance, avoir effectué des recherches pour retrouver un emploi. Il n’est en conséquence pas possible de retenir qu’il a entrepris tout ce qu’on pouvait raisonnablement exiger de lui pour éviter de se trouver sans revenus. Dans ces circonstances, dès lors également que l’appelant n’est âgé que de 37 ans et qu’il n’a pas fait valoir de motifs liés à son état de santé, il convient de lui imputer un revenu hypothétique. Même s’il n’est pas établi que l’appelant dispose d’une formation professionnelle reconnue, il y a lieu de retenir, au stade des mesures provisionnelles, que celui-ci est en mesure de réaliser un revenu mensuel de l’ordre de 3'300 fr., compte tenu d’un gain assuré auprès de l’assurance-chômage s’élevant à 3'932 fr. ainsi que de ses déclarations lors de l’audience du 22 décembre 2014 évoquées dans l’ordonnance entreprise (cf. p. 4) et non contestées. Il ressort par ailleurs d’une étude statistique réalisée par l’Office fédéral de la statistique que les salaires les plus bas constatés dans le domaine du paysagisme s’élevaient en 2010 à 3'772 fr. par mois, treizième salaire compris (cf. http://www.jardinsuisse.ch/fileadmin/user_upload/ downloadcenter/ HR_10_2012_04_Salaires_APG.pdf). En outre, s’agissant d’autres professions accessibles à une personne sans formation professionnelle, notamment le domaine du commerce de détail, le salaire mensuel moyen s’élève dans le canton de Vaud, selon l’Enquête suisse sur la structure des salaires, à 3'890 fr. et, dans le domaine de la restauration et de l’hôtellerie, à 3'910 fr. (cf. http://cms2.unige.ch/ses/ lea/oue/projet/salaires/scris/ index.php). Enfin, s’agissant des frais de recherches d’emploi par 150 fr., il est constaté que, même si on devait les considérer comme établis sous l’angle de la vraisemblance, ceux-ci feraient porter les charges mensuelles de l’appelant à 2'680 fr. (2'530 fr. + 150 fr.). Ces frais ne sont donc pas susceptibles d’atteindre son minimum vital, dès lors que le solde disponible de l’appelant s’élèverait dans cette hypothèse à 620 fr. (3'300 fr. – 2'680 fr.) avant le paiement de la pension de 500 francs. Compte tenu de ce qui précède, c’est à bon droit que le premier juge a fixé à 500 fr., éventuelles allocations familiales en sus, le montant de la pension mensuelle due depuis le 2 octobre 2014 par l’appelant à l’intimé.</w:t>
      </w:r>
    </w:p>
    <w:p>
      <w:r>
        <w:rPr>
          <w:b/>
        </w:rPr>
        <w:t>E. 4</w:t>
      </w:r>
    </w:p>
    <w:p>
      <w:r>
        <w:t>heures et 15 minutes au dossier, ses débours s’élevant à 35 francs. Le nombre d’heures et les débours allégués sont admis. Il s’ensuit qu’au tarif horaire de 180 fr. (art. 2 al. 1 RAJ [règlement du 7 décembre 2010 sur l’assistance judiciaire en matière civile, RSV 211.02.3]), l'indemnité de Me Tatti doit être arrêtée à 765 fr., montant auquel s’ajoutent les débours par 35 fr. et la TVA sur le tout (8%) par 64 fr., soit 864 fr. au total. Le bénéficiaire de l’assistance judiciaire est tenu, dans la mesure de l’art. 123 CPC, de rembourser l’indemnité de l’avocat d’office mis à la charge de l’Etat. c) Les frais judiciaires de deuxième instance, arrêtés à 600 fr. pour l’appelant (art. 63 al. 1 TFJC [tarif des frais judiciaires civils du 28 septembre 2010; RSV 270.11.5]), sont laissés à la charge de l'Etat (art. 122 al. 1 let. b CPC). Il n’y a pas lieu à l’allocation de dépens, l’intimé n’ayant pas été invité à se déterminer. Par ces motifs, la Juge déléguée de la Cour d’appel civile du Tribunal cantonal, prononce : I. L’appel est rejeté. II. L’ordonnance est confirmée. III. Les frais judiciaires de deuxième instance, arrêtés à 600 fr. (six cents francs) pour l’appelant, sont laissés à la charge de l’Etat. IV. Le bénéfice de l’assistance judiciaire est octroyé à N.________ dans la mesure d’une exonération des frais judiciaires et de l’assistance d’un conseil d’office en la personne de Me Raphaël Tatti, avocat à Lausanne. V. N.________ est astreint à payer une franchise mensuelle de 50 fr. (cinquante francs) dès et y compris le 1 er octobre 2015, à verser auprès du Service juridique et législatif, case postale, à 1014 Lausanne. VI. L’indemnité d’office de Me Tatti, conseil de l’appelant, est arrêtée à 864 fr. (huit cent soixante-quatre francs), TVA et débours compris. VII. Le bénéficiaire de l'assistance judiciaire est, dans la mesure de l'art. 123 CPC, tenu au remboursement de l'indemnité au conseil d'office prise en charge par l'Etat. VIII. L’arrêt est exécutoire. La juge déléguée : Le greffier : Du L'arrêt qui précède, dont la rédaction a été approuvée à huis clos, est notifié à : ‑ Me Raphaël Tatti (pour N.________) ‑ Me [...], curatrice (pour l’enfant Y.________)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