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661 vom 10. August 2015</w:t>
      </w:r>
    </w:p>
    <w:p>
      <w:r>
        <w:t>VD Tribunal cantonal, 2015-08-10, FR</w:t>
      </w:r>
    </w:p>
    <w:p>
      <w:r>
        <w:rPr>
          <w:b/>
        </w:rPr>
        <w:t xml:space="preserve">Quelle: </w:t>
      </w:r>
      <w:r>
        <w:t>https://mcp.opencaselaw.ch/entscheid/vd_findinfo_HC___2015___661</w:t>
      </w:r>
    </w:p>
    <w:p>
      <w:r>
        <w:t>FR: VD_FINDINFO HC / 2015 / 661 du 10 août 2015</w:t>
      </w:r>
    </w:p>
    <w:p>
      <w:r>
        <w:t>IT: VD_FINDINFO HC / 2015 / 661 del 10 agosto 2015</w:t>
      </w:r>
    </w:p>
    <w:p>
      <w:pPr>
        <w:pStyle w:val="Heading2"/>
      </w:pPr>
      <w:r>
        <w:t>Regeste</w:t>
      </w:r>
    </w:p>
    <w:p>
      <w:r>
        <w:t>MODIFICATION DES CIRCONSTANCES, DÉMÉNAGEMENT, MESURE PROVISIONNELLE, JUGEMENT DE DIVORCE | 133 al. 1 CC, 134 al. 2 CC, 301a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et patrimoniales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En l’espèce, l’appelant produit un extrait du Registre foncier de la parcelle n o [...] de la commune du Mont-sur-Lausanne, propriété de son ex-épouse. Cette pièce aurait pu être produite en première instance, de sorte qu’elle est irrecevable.</w:t>
      </w:r>
    </w:p>
    <w:p>
      <w:r>
        <w:rPr>
          <w:b/>
        </w:rPr>
        <w:t>E. 4</w:t>
      </w:r>
    </w:p>
    <w:p>
      <w:r>
        <w:t>a) L’appelant soutient qu’il n’existe pas de modification des circonstances telles qu’il se justifie de modifier le jugement de divorce rendu le 8 avril 2014. En effet, le concubinage de l’intimée avec T.________ et le fait que celle-ci est propriétaire d’un immeuble au Mont-sur-Lausanne, dans lequel elle souhaite emménager à terme, sont des faits qui existaient déjà avant le jugement de divorce et la condition imposée au concubin d’être domicilié à trente minutes de son travail était déjà satisfaite lorsqu’il était domicilié avec l’intimée à Oron-la-Ville. En tous les cas, l’appelant fait valoir que les mesures provisionnelles ne pouvaient être ordonnées dès lors que les conditions de l’urgence et du préjudice difficilement réparable ne sont pas réalisées, à savoir que le développement des enfants n’est pas compromis puisqu’ils sont inscrits dans l’établissement scolaire d’Oron-Palézieux. Il n’était donc pas nécessaire d’autoriser l’intimée à scolariser les enfants au Mont-sur-Lausanne. En outre, l’ordonnance attaquée obligerait les parties à effectuer au total onze trajets par semaine, alors que le maintien de la scolarisation des enfants à Oron-Palézieux ne nécessiterait que quatre trajets par semaine. Enfin, le changement d’établissement scolaire des enfants intervient en cours de cycle, de sorte que l’intérêt des enfants n’a pas été pris en compte. b) aa) Le droit de garde est une composante de l'autorité parentale. A cet égard, les nouvelles dispositions sur l'autorité parentale entrées en vigueur au 1 er juillet 2014 sont immédiatement applicables auprès des autorités cantonales (art. 12 al. 1 et 7b Tit. final CC ; TF 5A_92/2014 du 23 juillet 2014 c. 2.1). Selon le nouvel art. 133 CC, le juge règle les droits et les devoirs des père et mère conformément aux dispositions régissant les effets de la filiation. Cette réglementation porte notamment sur la garde de l’enfant et les relations personnelles ou la participation de chaque parent à la prise en charge de l’enfant (al. 1 ch. 2 et 3).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Basler Kommentar, n. 14 ad art. 298 CC, n. 23 ad art. 301a CC). Les critères dégagés par la jurisprudence concernant notamment l'attribution de la garde demeurent applicables, mutatis mutandis, au nouveau droit (Meier/Stettler, Droit de la filiation,</w:t>
      </w:r>
    </w:p>
    <w:p>
      <w:r>
        <w:rPr>
          <w:b/>
        </w:rPr>
        <w:t>E. 5</w:t>
      </w:r>
    </w:p>
    <w:p>
      <w:r>
        <w:t>Il s’ensuit que l’ordonnance attaquée doit être confirmée selon le mode procédural de l’art. 312 al. 1 CPC et l’appel de A.X.________ rejeté. Les frais judiciaires de deuxième instance sont arrêtés à 600 fr. (art. 65 al. 2 TFJC [tarif des frais judiciaires civils du 28 septembre 2010 ; RSV 270.11.5]) et mis à la charge de l'appelant, qui succombe (art. 106 al. 1 CPC). N'ayant pas été invitée à se déterminer, l'intimée n’a pas droit à des dépens.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 A.X.________. IV. L’arrêt est exécutoire. La juge déléguée : La greffière : Du L'arrêt qui précède, dont la rédaction a été approuvée à huis clos, est notifié en expédition complète, par l'envoi de photocopies, à : ‑ Me Laurent Fischer (pour A.X.________) ‑ Me Irène Wettstein Martin (pour Y.________) La Juge déléguée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