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653 vom 3. Juli 2015</w:t>
      </w:r>
    </w:p>
    <w:p>
      <w:r>
        <w:t>VD Tribunal cantonal, 2015-07-03, FR</w:t>
      </w:r>
    </w:p>
    <w:p>
      <w:r>
        <w:rPr>
          <w:b/>
        </w:rPr>
        <w:t xml:space="preserve">Quelle: </w:t>
      </w:r>
      <w:r>
        <w:t>https://mcp.opencaselaw.ch/entscheid/vd_findinfo_HC___2015___653</w:t>
      </w:r>
    </w:p>
    <w:p>
      <w:r>
        <w:t>FR: VD_FINDINFO HC / 2015 / 653 du 3 juillet 2015</w:t>
      </w:r>
    </w:p>
    <w:p>
      <w:r>
        <w:t>IT: VD_FINDINFO HC / 2015 / 653 del 3 luglio 2015</w:t>
      </w:r>
    </w:p>
    <w:p>
      <w:pPr>
        <w:pStyle w:val="Heading2"/>
      </w:pPr>
      <w:r>
        <w:t>Regeste</w:t>
      </w:r>
    </w:p>
    <w:p>
      <w:r>
        <w:t>AVOCAT D'OFFICE, HONORAIRES, DROIT D'ÊTRE ENTENDU, ADMISSION DE LA DEMANDE | 110 CPC (CH), 122 al. 1 let. a CPC (CH), 319 let. b ch. 1 CPC (CH)</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16 janvier 2015/372; CREC 15 avril 2014/140;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op. cit., n. 22 ad art. 122 CPC). En l'espèce, interjeté en temps utile par une personne qui y a intérêt, le recours est ainsi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 recourant invoque une violation de son droit d'être entendu, faisant valoir que le prononcé querellé n'est pas motivé.</w:t>
      </w:r>
    </w:p>
    <w:p>
      <w:r>
        <w:rPr>
          <w:b/>
        </w:rPr>
        <w:t>E. 3.1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4 mars 2015/102 c. 3b; CREC 10 décembre 2014/435 c. 3b).</w:t>
      </w:r>
    </w:p>
    <w:p>
      <w:r>
        <w:rPr>
          <w:b/>
        </w:rPr>
        <w:t>E. 3.2</w:t>
      </w:r>
    </w:p>
    <w:p>
      <w:r>
        <w:t>En l'espèce, le premier juge n’a pas exposé les raisons pour lesquelles il convenait selon lui de ramener le temps consacré au dossier par le recourant à 53 heures et 10 minutes, relevant simplement "qu'après examen des opérations et évaluation de celles-ci sur la base du dossier, le temps annoncé [apparaissait] comme étant surévalué". Il n'a ainsi pas expliqué de façon suffisante en quoi il se justifiait de réduire le temps décompté de 23 heures et 8 minutes. Ce défaut de motivation constitue une violation du droit d’être entendu du recourant, qui ne peut être réparée devant l’autorité de recours, en raison de son pouvoir de cognition restreint. Le premier juge est au demeurant le mieux placé pour apprécier le temps nécessaire à l'accomplissement du mandat d'office. Cela étant, il n'y a pas lieu d'examiner plus avant les autres griefs développés par le recourant.</w:t>
      </w:r>
    </w:p>
    <w:p>
      <w:r>
        <w:rPr>
          <w:b/>
        </w:rPr>
        <w:t>E. 4</w:t>
      </w:r>
    </w:p>
    <w:p>
      <w:r>
        <w:t>Au vu de ce qui précède, le recours doit être admis, le prononcé annulé au chiffre I de son dispositif et la cause renvoyée au Président du Tribunal de l’arrondissement de Lausanne pour nouvelle décision dans le sens des considérants. Dans la mesure où les frais judiciaires de deuxième instance, arrêtés à 100 fr. (art. 69 al. 3 TFJC [tarif des frais judiciaires civils du 28 septembre 2010 ; RSV 270.11.5]), ne sont pas imputables au recourant, ils seront mis à la charge de l’Etat (art. 107 al. 2 CPC). Il n’y a pas matière à l’allocation de dépens, puisque l’on ne saurait ici considérer l’Etat comme une partie adverse (Tappy, CPC commenté, Bâle 2011, n. 34 ad art. 107 CPC, p. 426). Par ces motifs, la Chambre des recours civile du Tribunal cantonal, prononce : I. Le recours est admis. II. Le prononcé est annulé au chiffre I de son dispositif et la cause est renvoyée au Président du Tribunal civil de l'arrondissement de Lausanne pour statuer à nouveau. III. Les frais judiciaires de deuxième instance, arrêtés à 100 fr. (cent francs), sont laissés à la charge de l'Etat. IV. L'arrêt motivé est exécutoire. Le président :               La greffière : Du</w:t>
      </w:r>
    </w:p>
    <w:p>
      <w:r>
        <w:rPr>
          <w:b/>
        </w:rPr>
        <w:t>E. 6</w:t>
      </w:r>
    </w:p>
    <w:p>
      <w:r>
        <w:t>juillet 2015 Le dispositif de l'arrêt qui précède est communiqué par écrit aux intéressés. La greffière : Du L'arrêt qui précède, dont la rédaction a été approuvée à huis clos, est notifié en expédition complète, par l'envoi de photocopies, à : ‑ Me L.________, ‑ M.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