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 vom 20. Januar 2015</w:t>
      </w:r>
    </w:p>
    <w:p>
      <w:r>
        <w:t>VD Tribunal cantonal, 2015-01-20, FR</w:t>
      </w:r>
    </w:p>
    <w:p>
      <w:r>
        <w:rPr>
          <w:b/>
        </w:rPr>
        <w:t xml:space="preserve">Quelle: </w:t>
      </w:r>
      <w:r>
        <w:t>https://mcp.opencaselaw.ch/entscheid/vd_findinfo_HC___2015___65</w:t>
      </w:r>
    </w:p>
    <w:p>
      <w:r>
        <w:t>FR: VD_FINDINFO HC / 2015 / 65 du 20 janvier 2015</w:t>
      </w:r>
    </w:p>
    <w:p>
      <w:r>
        <w:t>IT: VD_FINDINFO HC / 2015 / 65 del 20 gennaio 2015</w:t>
      </w:r>
    </w:p>
    <w:p>
      <w:pPr>
        <w:pStyle w:val="Heading2"/>
      </w:pPr>
      <w:r>
        <w:t>Regeste</w:t>
      </w:r>
    </w:p>
    <w:p>
      <w:r>
        <w:t>MESURE DE CONTRAINTE{DROIT DES ÉTRANGERS}, PERQUISITION DOMICILIAIRE | 70 al. 2 LEtr, 32 al. 1 LVLEtr</w:t>
      </w:r>
    </w:p>
    <w:p>
      <w:pPr>
        <w:pStyle w:val="Heading2"/>
      </w:pPr>
      <w:r>
        <w:t>Erwägungen</w:t>
      </w:r>
    </w:p>
    <w:p>
      <w:r>
        <w:rPr>
          <w:b/>
        </w:rPr>
        <w:t>E. 1</w:t>
      </w:r>
    </w:p>
    <w:p>
      <w:r>
        <w:t>Le recours au Tribunal cantonal est ouvert contre la décision du juge de paix ordonnant la détention administrative ou l’une des autres mesures prévues par le chapitre IV de la loi du 18 décembre 2007 d’application dans le Canton de Vaud de la législation fédérale sur les étrangers (LVLEtr ; RSV 142.11) (art. 30 LVLEtr). Il est de la compétence de la Chambre des recours civile (art. 71 et 73 al. 1 LOJV [loi vaudoise du 12 septembre 1979 d'organisation judiciaire ; RSV 173.01] et art. 18 al. 3 let. c ROTC [règlement organique du Tribunal cantonal du 13 novembre 2007 ; RSV 173.31.1]). Le délai de recours est de dix jours (art. 30 al. 2 LVLEtr). La perquisition étant régie par l’art. 32 LVLEtr, disposition comprise dans le chapitre IV, c’est bien le recours de l’art. 30 LVLEtr qui doit être exercé. On peut douter de la recevabilité du recours, au vu de son caractère exclusivement constatatoire. En effet, E.________ et ses enfants ayant quitté la Suisse dans le cadre de la procédure de renvoi, on discerne mal l’intérêt juridique encore actuel des recourantes, dès lors que la perquisition contestée ne constituait qu’un incident de cette procédure. Peu importe toutefois dans la mesure où le recours doit de toute manière être rejeté pour les motifs qui suivent.</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recourantes ainsi que par le SPOP sont recevables et ont été prises en compte dans la mesure de leur utilité.</w:t>
      </w:r>
    </w:p>
    <w:p>
      <w:r>
        <w:rPr>
          <w:b/>
        </w:rPr>
        <w:t>E. 3</w:t>
      </w:r>
    </w:p>
    <w:p>
      <w:r>
        <w:t>a) Les recourantes contestent la validité de la perquisition ordonnée. Elles font valoir que les conditions de l’art. 70 al. 2 LEtr n’étaient pas réalisées, à savoir qu’il n’existait aucun soupçon que E.________ et ses enfants se trouvaient cachés chez F.________, de sorte que la perquisition ordonnée serait illicite. b) Aux termes de l’art. 70 al. 2 LEtr, lorsqu’une décision de renvoi ou d’expulsion a été rendue en première instance, l’autorité judiciaire peut ordonner la perquisition d’un logement ou d’autres locaux si elle soupçonne que l’étranger s’y trouve caché ou que des documents de voyage et d’identité nécessaires à la procédure et à l’exécution du renvoi y ont été cachés. Selon l’art. 32 aI. 1 LVLEtr, sur réquisition du service, le juge de paix peut ordonner la perquisition d’un appartement ou d’autres locaux dans les cas prévus par la législation fédérale (art. 70 LEtr). c) En l’espèce, il est constant que F.________ et L.________ sont militantes actives [...] et il ressort clairement des pièces du dossier qu’elles se sont toutes deux investies dans la défense des intérêts de la famille déboutée. Le 30 octobre 2014, dans les locaux du SPOP, F.________ a affirmé que E.________ et ses enfants seraient cachés si le SPOP envisageait de recourir aux forces de l’ordre en vue de l’exécution de leur renvoi. Le 10 novembre 2014, L.________ a formulé les mêmes propos, également dans les locaux du SPOP. Force est ainsi de constater qu’il existait des présomptions suffisantes de soupçonner que la recourante déboutée et ses enfants se trouvaient cachés soit au domicile de F.________, soit à celui de L.________. C’est dès lors à bon droit que la perquisition a été ordonnée dans le logement de F.________. Au demeurant, c’est en vain que les recourantes soutiennent que le SPOP n’a pas fait état, dans sa demande de perquisition du 20 novembre 2014 adressée à la Justice de paix, des propos de F.________ du 30 octobre 2014 dans les locaux du SPOP. En effet, la Cour de céans peut vérifier la licéité de la perquisition sur la base de l’ensemble des éléments probatoires, en vertu du large pouvoir de cognition découlant de l’art. 31 al. 1 et 2 LVLEtr.</w:t>
      </w:r>
    </w:p>
    <w:p>
      <w:r>
        <w:rPr>
          <w:b/>
        </w:rPr>
        <w:t>E. 4</w:t>
      </w:r>
    </w:p>
    <w:p>
      <w:r>
        <w:t>Il s’ensuit que le recours doit être rejeté et l’ordonnance attaquée confirmée. L’arrêt peut être rendu sans frais. Par ces motifs, la Chambre des recours civile du Tribunal cantonal, statuant à huis clos, prononce : I. Le recours est rejeté. II. L’ordonnance est confirmée. III. L’arrêt motivé, rendu sans frais, est exécutoire. Le président :               La greffière : Du 22 janvier 2015 Le dispositif de l'arrêt qui précède est communiqué par écrit aux intéressés. La greffière : Du L'arrêt qui précède, dont la rédaction a été approuvée à huis clos, est notifié en expédition complète, par l'envoi de photocopies, à : ‑ Me Rodolphe Petit (pour E.________ et F.________)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