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643 vom 18. Juni 2015</w:t>
      </w:r>
    </w:p>
    <w:p>
      <w:r>
        <w:t>VD Tribunal cantonal, 2015-06-18, FR</w:t>
      </w:r>
    </w:p>
    <w:p>
      <w:r>
        <w:rPr>
          <w:b/>
        </w:rPr>
        <w:t xml:space="preserve">Quelle: </w:t>
      </w:r>
      <w:r>
        <w:t>https://mcp.opencaselaw.ch/entscheid/vd_findinfo_HC___2015___643</w:t>
      </w:r>
    </w:p>
    <w:p>
      <w:r>
        <w:t>FR: VD_FINDINFO HC / 2015 / 643 du 18 juin 2015</w:t>
      </w:r>
    </w:p>
    <w:p>
      <w:r>
        <w:t>IT: VD_FINDINFO HC / 2015 / 643 del 18 giugno 2015</w:t>
      </w:r>
    </w:p>
    <w:p>
      <w:pPr>
        <w:pStyle w:val="Heading2"/>
      </w:pPr>
      <w:r>
        <w:t>Regeste</w:t>
      </w:r>
    </w:p>
    <w:p>
      <w:r>
        <w:t>SUSPENSION DE LA PROCÉDURE, REJET DE LA DEMANDE, PROCÉDURE PÉNALE, DOMMAGE IRRÉPARABLE, CONCLUSIONS | 126 CPC (CH), 319 let. b ch. 2 CPC (CH)</w:t>
      </w:r>
    </w:p>
    <w:p>
      <w:pPr>
        <w:pStyle w:val="Heading2"/>
      </w:pPr>
      <w:r>
        <w:t>Erwägungen</w:t>
      </w:r>
    </w:p>
    <w:p>
      <w:r>
        <w:rPr>
          <w:b/>
        </w:rPr>
        <w:t>E. 1</w:t>
      </w:r>
    </w:p>
    <w:p>
      <w:r>
        <w:t>CPC). En l’espèce, le recours a été déposé en temps utile, par une partie qui a un intérêt digne de protection (art. 59 al. 2 let. a CPC).</w:t>
      </w:r>
    </w:p>
    <w:p>
      <w:r>
        <w:rPr>
          <w:b/>
        </w:rPr>
        <w:t>E. 1.1</w:t>
      </w:r>
    </w:p>
    <w:p>
      <w:r>
        <w:t>Le tribunal conduit le procès et prend les décisions d’instruction nécessaires à une préparation et à une conduite rapides de la procédure (art. 124 al. 1 CPC [Code de procédure civile du 19 décembre 2010, RS 272]). Il peut ordonner la suspension de la procédure si des motifs d’opportunité le commandent (art. 126 al. 1 CPC). L’art. 126 al. 2 CPC prévoit que l’ordonnance de suspension de la procédure peut faire l’objet d’un recours au sens de l’art. 319 let. b ch. 1 CPC ; cela signifie a contrario que la décision de refus de suspension ne peut faire l’objet que du recours de l’art. 319 let. b ch. 2 CPC, le recourant devant alors démontrer le préjudice difficilement réparable résultant de la décision de refus de suspension (CREC 27 novembre 2014/418 ; CREC 30 janvier 2014/38 ; CREC 6 février 2014/46 ; CREC 24 janvier 2013/26 ; CREC 20 avril 2012/147 ; CREC 23 décembre 2011/265 ; Haldy, CPC commenté, Bâle 2011, n. 9 ad art. 126 CPC). Les ordonnances de suspension devant être considérées comme des décisions d’instruction (Jeandin, CPC commenté, Bâle 2011, n. 18 ad art. 319 CPC), le recours doit être déposé dans le délai de dix jours de l’art. 321 al. 2 CPC (CREC 27 novembre 2014/418 ; CREC 14 juin 2013/205 c. 2.2). Les conclusions, allégations de faits et preuves nouvelles sont irrecevables (art. 326 al.</w:t>
      </w:r>
    </w:p>
    <w:p>
      <w:r>
        <w:rPr>
          <w:b/>
        </w:rPr>
        <w:t>E. 1.2</w:t>
      </w:r>
    </w:p>
    <w:p>
      <w:r>
        <w:t>Selon la jurisprudence de la Chambre de céans, la notion de préjudice difficilement réparable est plus large que celle de dommage irréparable de l'art. 93 al. 1 let. a LTF (Loi du 17 juin 2005 sur le Tribunal fédéral; RS 173.110), puisqu'elle devrait viser également les désavantages de fait (JT 2011 III 86 c. 3 et réf. ; CREC 20 avril 2012/148).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(CREC 27 novembre 2014/418 ; CREC 22 mars 2012/117 ; Jeandin, op. cit., n. 22 ad art. 319 CPC et références). En outre, un préjudice irréparable de nature juridique ne doit pas pouvoir être ultérieurement réparé ou entièrement réparé par une décision finale favorable au recourant (ATF 134 III 188 c. 2.1 et c. 2.2).</w:t>
      </w:r>
    </w:p>
    <w:p>
      <w:r>
        <w:rPr>
          <w:b/>
        </w:rPr>
        <w:t>E. 1.3</w:t>
      </w:r>
    </w:p>
    <w:p>
      <w:r>
        <w:t>En l’espèce, la Chambre de céans ne voit pas quel préjudice irréparable la recourante pourrait subir du fait du refus d’une suspension du procès civil jusqu’à l’issue du procès pénal. En particulier, que la recourante ne soit pas en mesure de chiffrer immédiatement des conclusions reconventionnelles lui permettant d’invoquer la compensation ne correspond pas à un dommage irréparable, puisqu’elle garde la faculté de prendre ces conclusions dans un procès distinct ou de les prendre en vertu d’une application par analogie de l’art. 85 al. 1 CPC. Cette question peut toutefois rester ouverte en l’état, dès lors que le recours doit être rejeté pour les motifs suivants.</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Basler Kommentar, 2 e éd. 2013, n° 26 ad art. 319 CPC) ; elle revoit librement les questions de droit soulevées par le recourant et peut substituer ses propres motifs à ceux de l’autorité précédente ou du recourant (Hohl, Procédure civile, Tome II, 2 e éd. 2010, n° 2508, p. 452).</w:t>
      </w:r>
    </w:p>
    <w:p>
      <w:r>
        <w:rPr>
          <w:b/>
        </w:rPr>
        <w:t>E. 3.1</w:t>
      </w:r>
    </w:p>
    <w:p>
      <w:r>
        <w:t>Selon l’art. 126 al. 1 CPC, le tribunal peut ordonner la suspension de la procédure si des motifs d’opportunité le commandent ;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(TF 683/2014 du 17 février 2015 c. 2.1 et 2.2 ; Weber, in Kurzkommentar ZPO, 2 e éd. 2014, n° 7 ad art. 126 CPC ; Gschwend/Bornatico, in Basler Kommentar, Schweizerische Zivilprozessordnung, 2 e éd. 2013, n° 13 ad art. 126 CPC ; Frei, in Berner Kommentar, 2012, n os 1 et 4 ad art. 126 CPC).</w:t>
      </w:r>
    </w:p>
    <w:p>
      <w:r>
        <w:rPr>
          <w:b/>
        </w:rPr>
        <w:t>E. 3.2</w:t>
      </w:r>
    </w:p>
    <w:p>
      <w:r>
        <w:t>En l’espèce, la recourante n’invoque aucun motif permettant de retenir que le premier juge a abusé de son large pouvoir d’appréciation en refusant de suspendre la procédure civile dans l’attente de l’issue de la procédure pénale. Au contraire, celle-ci est encore loin d’aboutir même si la plainte pénale est antérieure de quelques jours à l’ouverture de la procédure civile par l’intimé, puisque, au moment où le premier juge a statué, seule une audience de confrontation avait eu lieu et des moyens de preuves complémentaires avaient été requis par le plaignant ; l’acte d’accusation n’était de loin pas établi. En outre, le juge civil est tout aussi à même de procéder à l’instruction nécessaire pour établir les faits pertinents pour le sort de la cause en entendant les témoins, appréciant leurs déclarations et les pièces tirées du dossier pénal. Lorsque la recourante affirme que seul le juge pénal aurait accès à une liste de clients détenue par l’établissement d’assurance [...], liste susceptible de montrer que certains de ses clients auraient été débauchés par l’intimé, elle ne démontre ni que cette assurance aurait le droit de garder le secret à cet égard, ni que son intérêt à garder un éventuel secret l’emporterait sur l’intérêt à la manifestation de la vérité au sens de l’art. 166 al. 2 CPC. Au demeurant, s’il se révélait qu’un secret existait et que l’établissement d’assurance pouvait l’invoquer valablement, il serait toujours temps pour la recourante de solliciter à nouveau une suspension. En l’état, en se limitant à affirmer qu’il existe un rapport de connexité très étroit entre les deux procédures, la recourante n’établit pas qu’une suspension s’impose. Au surplus, si la recourante insiste sur le fait que les infractions à la LCD ressortissent au juge pénal, cela n’est pas pour autant pertinent pour justifier la suspension de la cause civile. En effet, cela est le propre de toute procédure pénale ouverte au regard de la LCD parallèlement à une procédure civile. De surcroît, le jugement pénal ne lie pas le juge civil en ce qui concerne l’appréciation de la faute et la fixation du dommage (art. 53 al. 2 CO).</w:t>
      </w:r>
    </w:p>
    <w:p>
      <w:r>
        <w:rPr>
          <w:b/>
        </w:rPr>
        <w:t>E. 4</w:t>
      </w:r>
    </w:p>
    <w:p>
      <w:r>
        <w:t>Au vu de ce qui précède, le recours doit être rejeté dans la mesure où il est recevable en vertu de l’art. 322 al. 1 CPC et le prononcé entrepris confirmé.</w:t>
      </w:r>
    </w:p>
    <w:p>
      <w:r>
        <w:rPr>
          <w:b/>
        </w:rPr>
        <w:t>E. 5</w:t>
      </w:r>
    </w:p>
    <w:p>
      <w:r>
        <w:t>Les frais judiciaires de deuxième instance, arrêtés à 2'023 fr., sont mis à la charge de la recourante, qui succombe (art. 106 al. 1 CPC ; art. 69 al. 1 TFJC [tarif des frais judiciaires civils du 28 septembre 2010, RSV 270.11.5]). L’intimé n’ayant pas été invité à se déterminer, il n’y a pas lieu de lui allouer de dépens. Par ces motifs, la Chambre des recours civile du Tribunal cantonal, en application de l'art. 322 al. 1 CPC, prononce : I. Le recours est rejeté dans la mesure où il est recevable. II. La décision est confirmée. III. Les frais judiciaires de deuxième instance, arrêtés à 2'023 fr. (deux mille vingt-trois francs), sont mis à la charge de la recourante R.________. IV. L’arrêt motivé est exécutoire. Le président :               La greffière : Du 19 juin 2015 Le dispositif de l'arrêt qui précède est communiqué par écrit aux intéressés. La greffière : Du L'arrêt qui précède, dont la rédaction a été approuvée à huis clos, est notifié en expédition complète, par l'envoi de photocopies, à : ‑ Me Astyanax Peca (pour R.________), ‑ Me Estelle Chanson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