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641 vom 22. Mai 2015</w:t>
      </w:r>
    </w:p>
    <w:p>
      <w:r>
        <w:t>VD Tribunal cantonal, 2015-05-22, FR</w:t>
      </w:r>
    </w:p>
    <w:p>
      <w:r>
        <w:rPr>
          <w:b/>
        </w:rPr>
        <w:t xml:space="preserve">Quelle: </w:t>
      </w:r>
      <w:r>
        <w:t>https://mcp.opencaselaw.ch/entscheid/vd_findinfo_HC___2015___641</w:t>
      </w:r>
    </w:p>
    <w:p>
      <w:r>
        <w:t>FR: VD_FINDINFO HC / 2015 / 641 du 22 mai 2015</w:t>
      </w:r>
    </w:p>
    <w:p>
      <w:r>
        <w:t>IT: VD_FINDINFO HC / 2015 / 641 del 22 maggio 2015</w:t>
      </w:r>
    </w:p>
    <w:p>
      <w:pPr>
        <w:pStyle w:val="Heading2"/>
      </w:pPr>
      <w:r>
        <w:t>Regeste</w:t>
      </w:r>
    </w:p>
    <w:p>
      <w:r>
        <w:t>EXPERTISE, COMPLÉMENT, DOMMAGE IRRÉPARABLE | 319 let. b ch. 2 CPC (CH)</w:t>
      </w:r>
    </w:p>
    <w:p>
      <w:pPr>
        <w:pStyle w:val="Heading2"/>
      </w:pPr>
      <w:r>
        <w:t>Erwägungen</w:t>
      </w:r>
    </w:p>
    <w:p>
      <w:r>
        <w:rPr>
          <w:b/>
        </w:rPr>
        <w:t>E. 1.1</w:t>
      </w:r>
    </w:p>
    <w:p>
      <w:r>
        <w:t>Le recours est dirigé contre un refus du premier juge d'ordonner un complément d'expertise ainsi qu'une nouvelle expertise, décision qui constitue une d'ordonnance d'instruction en ce qu'elle se rapporte à la préparation et à la conduite des débats et statue sur l'opportunité et les modalités de l'administration des preuves (Jeandin, CPC commenté, Bâle 2011, n. 14 ad art. 319 CPC). L'art. 319 let. b ch. 2 CPC (Code de procédure civile du 19 décembre 2008, RS 272) ouvre la voie du recours contre les décisions et ordonnances d'instruction de première instance lorsqu'elles peuvent causer un préjudice difficilement réparable. Le recours, écrit et motivé, s'exerce dans un délai de dix jours (art. 321 al. 1 2 CPC).</w:t>
      </w:r>
    </w:p>
    <w:p>
      <w:r>
        <w:rPr>
          <w:b/>
        </w:rPr>
        <w:t>E. 1.2</w:t>
      </w:r>
    </w:p>
    <w:p>
      <w:r>
        <w:t>En l’espèce, déposé dans en temps utile par une partie qui y a intérêt (art. 59 al. 2 let. a CPC), le recours est recevable à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op. cit., n. 5 et 6 ad art. 320 CPC, p. 1276; Corboz et alii, Commentaire de la LTF, Berne 2009, n. 19 ad art. 97, p. 941).</w:t>
      </w:r>
    </w:p>
    <w:p>
      <w:r>
        <w:rPr>
          <w:b/>
        </w:rPr>
        <w:t>E. 3.1</w:t>
      </w:r>
    </w:p>
    <w:p>
      <w:r>
        <w:t>Le recourant estime que le rapport d'expertise est incomplet et fait valoir que le premier juge a violé l'art. 187 al. 4 CPC en ne permettant pas aux parties de poser des questions complémentaires à l'expert. Il soutient pour le surplus qu'un complément d'expertise ne saurait attendre la fin de la procédure au fond dès lors qu'il y aurait un risque que les preuves n'existent plus au moment du recours, soit notamment que les échantillons musculaires soient périmés.</w:t>
      </w:r>
    </w:p>
    <w:p>
      <w:r>
        <w:rPr>
          <w:b/>
        </w:rPr>
        <w:t>E. 3.2</w:t>
      </w:r>
    </w:p>
    <w:p>
      <w:r>
        <w:t>Selon la jurisprudence de la Cour de céans, la notion de préjudice difficilement réparable est plus large que celle de dommage irréparable de l'art. 93 al. 1 let. a LTF, puisqu'elle devrait viser également les désavantages de fait (JT 2011 III 86 c. 3 et références ;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(Jeandin, op. cit., n. 22 ad art. 319 CPC et références ; CREC 22 mars 2012/117). En outre, un préjudice irréparable de nature juridique ne doit pas pouvoir être ultérieurement réparé ou entièrement réparé par une décision finale favorable au recourant (ATF 134 III 188 c. 2.1 et c. 2.2). En principe, une décision refusant l’introduction de nouveaux allégués ou de nouveaux moyens de preuve ne crée pas un préjudice difficilement réparable, car le recourant conserve des moyens dans la procédure au fond, au besoin en remettant en cause la décision finale qui lui aurait refusé des preuves pertinentes (CREC 9 janvier 2015/19 précité; CREC 14 novembre 2014/401). Il en va de même de la décision refusant d'ordonner une deuxième expertise (CREC 28 mars 2014/116; CREC 18 février 2014/67; CREC 3 septembre 2013/274).</w:t>
      </w:r>
    </w:p>
    <w:p>
      <w:r>
        <w:rPr>
          <w:b/>
        </w:rPr>
        <w:t>E. 3.3</w:t>
      </w:r>
    </w:p>
    <w:p>
      <w:r>
        <w:t>Aux termes de l’art. 187 al. 4 CPC, le tribunal donne aux parties l’occasion de demander des explications ou de poser des questions complémentaires après le dépôt du rapport d'expertise. C’est au tribunal d’apprécier si de telles questions doivent être soumises à l’expert ou si le rapport de celui-ci est suffisant (Rüetschi, Berner Kommentar, 2012, n. 10 ad art. 187 CPC). Lorsque le juge refuse de soumettre des questions complémentaires à l'expert, le recours contre sa décision n'en reste pas moins conditionné à l'existence d'un préjudice difficilement réparable. En l'espèce, on ne discerne pas en quoi le refus du premier juge d'ordonner un complément d'expertise serait susceptible de causer au recourant un préjudice difficilement réparable. En effet, le risque selon laquelle les preuves pourraient ne plus exister au moment du recours, notamment les échantillons musculaires qui pourraient être périmés, ne repose que sur les affirmations du recourant. Celui-ci conserve dès lors la possibilité de s'en prendre à la décision finale pour contester la valeur probante de l’expertise dans le cadre de la procédure au fond et démontrer qu'un complément d'expertise aurait été nécessaire, comme il le fait dans son recours. On peut certes s'étonner du fait que la décision d'ordonner un complément d'expertise a finalement été rapportée par le premier juge après le refus de l'expert de procéder à un tel complément. Les ordonnances d'instruction n'ont toutefois pas autorité de chose jugée et peuvent être rapportées (Jeandin, op. cit., n. 14 ad art. 319 CPC), ce qui est apparu adéquat au premier juge sur le vu de l'avis de l'expert. Par surabondance, on relèvera que les 17 questions posées par le recourant dépassent le cadre du complément d'expertise à forme de l'art. 187 al. 4 CPC et paraissent plutôt relever d'une nouvelle expertise.</w:t>
      </w:r>
    </w:p>
    <w:p>
      <w:r>
        <w:rPr>
          <w:b/>
        </w:rPr>
        <w:t>E. 4</w:t>
      </w:r>
    </w:p>
    <w:p>
      <w:r>
        <w:t>En définitive, le recours doit être rejeté et le prononcé confirmé. Les frais judiciaires de deuxième instance, arrêtés à 2'960 fr. (art. 69 al. 1 et 70 al. 2 TFJC [tarif des frais judiciaires civils du 28 septembre 2010, RSV 270.11.5]), sont mis à la charge du recourant qui succombe (art. 106 al. 1 CPC). Par ces motifs, la Chambre des recours civile du Tribunal cantonal, prononce : I. Le recours est rejeté. II. Le prononcé est confirmé. III. Les frais judiciaires de deuxième instance, arrêtés à 2'960 fr. (deux mille neuf cent soixante francs) sont mis à la charge du recourant D.________. IV. L'arrêt motivé est exécutoire. Le président :               La greffière : Du 27 mai 2015 Le dispositif de l'arrêt qui précède est communiqué par écrit aux intéressés. La greffière : Du L'arrêt qui précède, dont la rédaction a été approuvée à huis clos, est notifié en expédition complète, par l'envoi de photocopies, à : ‑ Me Corinne Monnard Séchaud (pour D.________), ‑ Y.________SA.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