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637 vom 30. Juni 2015</w:t>
      </w:r>
    </w:p>
    <w:p>
      <w:r>
        <w:t>VD Tribunal cantonal, 2015-06-30, FR</w:t>
      </w:r>
    </w:p>
    <w:p>
      <w:r>
        <w:rPr>
          <w:b/>
        </w:rPr>
        <w:t xml:space="preserve">Quelle: </w:t>
      </w:r>
      <w:r>
        <w:t>https://mcp.opencaselaw.ch/entscheid/vd_findinfo_HC___2015___637</w:t>
      </w:r>
    </w:p>
    <w:p>
      <w:r>
        <w:t>FR: VD_FINDINFO HC / 2015 / 637 du 30 juin 2015</w:t>
      </w:r>
    </w:p>
    <w:p>
      <w:r>
        <w:t>IT: VD_FINDINFO HC / 2015 / 637 del 30 giugno 2015</w:t>
      </w:r>
    </w:p>
    <w:p>
      <w:pPr>
        <w:pStyle w:val="Heading2"/>
      </w:pPr>
      <w:r>
        <w:t>Regeste</w:t>
      </w:r>
    </w:p>
    <w:p>
      <w:r>
        <w:t>PREMIÈRE INSTANCE, DÉPENS, RETRAIT{VOIE DE DROIT}, MESURE PROVISIONNELLE | 95 al. 1 let. b CPC (CH)</w:t>
      </w:r>
    </w:p>
    <w:p>
      <w:pPr>
        <w:pStyle w:val="Heading2"/>
      </w:pPr>
      <w:r>
        <w:t>Erwägungen</w:t>
      </w:r>
    </w:p>
    <w:p>
      <w:r>
        <w:rPr>
          <w:b/>
        </w:rPr>
        <w:t>E. 1</w:t>
      </w:r>
    </w:p>
    <w:p>
      <w:r>
        <w:t>a) Lorsque seule la décision sur les frais, qui comprennent les frais judiciaires et les dépens (art. 95 al. 1 let. a et b CPC), est litigieuse, elle ne peut être attaquée que par un recours (art. 110 et 319 let. b ch. 1 CPC ; Tappy, CPC commenté, Bâle 2011, n. 3 ad art. 110 CPC, p. 437). Tel est le cas en l’espèce, les recourants alléguant que des dépens de première instance ne leur ont pas été alloués. b) Adressé en temps utile (art. 248 let. d et 321 al. 2 CPC, s’agissant d’une procédure sommaire) à l’autorité compétente par une personne qui a un intérêt digne de protection (art. 59 al. 1 let. a CPC), le recours est recevable.</w:t>
      </w:r>
    </w:p>
    <w:p>
      <w:r>
        <w:rPr>
          <w:b/>
        </w:rPr>
        <w:t>E. 2</w:t>
      </w:r>
    </w:p>
    <w:p>
      <w:r>
        <w:t>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 toutefois, lorsque l’instance supérieure admet le recours et constate que la cause est en état d’être jugée, elle rend une nouvelle décision (art. 327 al. 3 let. b CPC). Dans ce cas, le recours déploie un effet réformatoire (Jeandin, op. cit., n. 6 ad art. 327 CPC, p. 1287).</w:t>
      </w:r>
    </w:p>
    <w:p>
      <w:r>
        <w:rPr>
          <w:b/>
        </w:rPr>
        <w:t>E. 3</w:t>
      </w:r>
    </w:p>
    <w:p>
      <w:r>
        <w:t>al. 2 TDC, dans les contestations portant sur des affaires patrimoniales, le défraiement est fixé selon le type de procédure et la valeur litigieuse (celle-ci étant déterminée par les conclusions ; cf. art. 91 al. 1 CPC), en considération de l'importance de la cause, de ses difficultés, de l'ampleur du travail et du temps consacré par l’avocat ou l'agent d'affaires breveté ;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Aux termes de l’art. 11 TDC, applicable aux agents d’affaires brevetés en première instance en matière de procédure sommaire, le défraiement est de 750 fr. à 2’250 fr. pour une valeur litigieuse comprise entre 10'000 fr. et 30’000 francs. Toutefois, lorsqu’il y a disproportion manifeste entre la valeur litigieuse et l’intérêt des parties au procès ou entre le taux applicable selon le tarif et le travail effectif du représentant professionnel, le juge peut fixer des dépens inférieurs au taux minimum (art. 20 al. 2 TDC). c) En l’espèce, le litige porte sur l’inscription provisoire d’une hypothèque légale des artisans et entrepreneurs d’un montant de 22’268 fr. 80. La requête d’inscription de l’intimée comportait un état de fait très espacé sur deux pages et demi (sans compter la page de garde et les conclusions). Les recourants se sont déterminés sur la requête par le biais de leur agent d’affaires breveté dans un courrier d’une page en faisant uniquement valoir que l’inscription n’avait pas été requise dans les quatre mois suivant l’achèvement des travaux selon l’art. 839 al. 2 CC (Code civil suisse du 10 décembre 1907 ; RS 210). Dès lors que l’intimée, qui a retiré son recours, doit être considérée comme la partie succombante au sens de l’art. 106 al. 1 CPC, des dépens doivent effectivement être alloués aux recourants, mais uniquement à hauteur de 750 fr., limite inférieure de la fourchette de l’art. 11 TDC, au vu de l’ampleur modeste du travail effectué par l’agent d’affaires breveté.</w:t>
      </w:r>
    </w:p>
    <w:p>
      <w:r>
        <w:rPr>
          <w:b/>
        </w:rPr>
        <w:t>E. 4</w:t>
      </w:r>
    </w:p>
    <w:p>
      <w:r>
        <w:t>Il s’ensuit que le recours doit être partiellement admis et le prononcé attaqué réformé en ce sens que D.________ doit verser à A.Z.________ et B.Z.________, solidairement entre eux, la somme de 750 fr. à titre de dépens. La décision querellée est confirmée pour surplus. Les frais judiciaires de deuxième instance sont arrêtés à 100 fr. (art. 69 al. 1 TFJC [tarif des frais judiciaires civils du 28 septembre 2010; RSV 270.11.5) et mis à la charge de l’intimée (art. 106 al. 2 CPC). L'intimée doit verser aux recourants, solidairement entre eux, la somme de 200 fr. à titre de dépens de deuxième instance (art. 13 al. 1 TDC) et la somme de 100 fr. à titre de restitution d’avance de frais de deuxième instance (art. 111 al. 2 CPC). Par ces motifs, la Chambre des recours civile du Tribunal cantonal, prononce : I. Le recours est partiellement admis. II. Le prononcé est réformé comme suit : La partie requérante D.________ doit verser aux intimés A.Z.________ et B.Z.________, solidairement entre eux, le montant de 750 fr. (sept cent cinquante francs) à titre de dépens. Le prononcé est confirmé pour le surplus. III. Les frais judiciaires de deuxième instance, arrêtés à 100 fr. (cent francs), sont mis à la charge de l’intimée D.________. IV. L’intimée D.________ doit verser aux recourants A.Z.________ et B.Z.________, solidairement entre eux, la somme de 300 fr. (trois cents francs) à titre de dépens et de restitution d’avance de frais de deuxième instance. V. L'arrêt motivé est exécutoire. Le président :               La greffière : Du 1 er juillet 2015 Le dispositif de l'arrêt qui précède est communiqué par écrit aux intéressés. La greffière : Du L'arrêt qui précède, dont la rédaction a été approuvée à huis clos, est notifié en expédition complète, par l'envoi de photocopies, à : ‑ Mme Geneviève Gehrig (pour A.Z.________ et B.Z.________) ‑ Me Denis Weber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