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603 vom 30. Juni 2015</w:t>
      </w:r>
    </w:p>
    <w:p>
      <w:r>
        <w:t>VD Tribunal cantonal, 2015-06-30, FR</w:t>
      </w:r>
    </w:p>
    <w:p>
      <w:r>
        <w:rPr>
          <w:b/>
        </w:rPr>
        <w:t xml:space="preserve">Quelle: </w:t>
      </w:r>
      <w:r>
        <w:t>https://mcp.opencaselaw.ch/entscheid/vd_findinfo_HC___2015___603</w:t>
      </w:r>
    </w:p>
    <w:p>
      <w:r>
        <w:t>FR: VD_FINDINFO HC / 2015 / 603 du 30 juin 2015</w:t>
      </w:r>
    </w:p>
    <w:p>
      <w:r>
        <w:t>IT: VD_FINDINFO HC / 2015 / 603 del 30 giugno 2015</w:t>
      </w:r>
    </w:p>
    <w:p>
      <w:pPr>
        <w:pStyle w:val="Heading2"/>
      </w:pPr>
      <w:r>
        <w:t>Regeste</w:t>
      </w:r>
    </w:p>
    <w:p>
      <w:r>
        <w:t>SÛRETÉS, CONCORDAT{LP}, HOMOLOGATION DU CONCORDAT, CONCORDAT PAR ABANDON D'ACTIF, INSOLVABILITÉ | 313 LP, 99 al. 1 let. b CPC (CH)</w:t>
      </w:r>
    </w:p>
    <w:p>
      <w:pPr>
        <w:pStyle w:val="Heading2"/>
      </w:pPr>
      <w:r>
        <w:t>Erwägungen</w:t>
      </w:r>
    </w:p>
    <w:p>
      <w:r>
        <w:rPr>
          <w:b/>
        </w:rPr>
        <w:t>E. 1</w:t>
      </w:r>
    </w:p>
    <w:p>
      <w:r>
        <w:t>a) Selon l’art. 319 let. b CPC, le recours est ouvert contre les ordonnances d’instruction et les décisions autres que finales, incidentes ou provisionnelles de première instance, en particulier dans les cas prévus par la loi (ch. 1). Tel est le cas en l’espèce, l’art. 103 CPC ouvrant expressément le recours contre les décisions relatives aux sûretés. Ces décisions comptant parmi les ordonnances d’instruction (Jeandin, CPC commenté,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b) Déposé en temps utile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1 ad art. 320 CPC). Elle revoit librement les questions de droit soulevées par le recourant et peut substituer ses propres motifs à ceux de l’autorité précédente ou du recourant (HohI, Procédure civile, tome lI, 2 e éd., 2010, n. 2508, p. 452).</w:t>
      </w:r>
    </w:p>
    <w:p>
      <w:r>
        <w:rPr>
          <w:b/>
        </w:rPr>
        <w:t>E. 3</w:t>
      </w:r>
    </w:p>
    <w:p>
      <w:r>
        <w:t>a) La recourante soutient, eu égard aux disponibilités financières en mains de son liquidateur, qu’il n’existe pas de risque d’insolvabilité justifiant la fourniture de sûretés. b) 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Dans le cadre d’une ordonnance d’instruction, le juge ne doit pas se livrer à une analyse comptable et fiscale poussée pour examiner l’application de l’art. 99 CPC, la vraisemblance de l’insolvabilité étant suffisante au sens de la lettre b de cette disposition (Tappy, CPC commenté, 2011, n. 29 ad art. 99 CPC). L’art. 99 al. 1 let. d CPC constitue une clause générale qui permet de prendre en considération toute circonstance propre à accroître sensiblement le risque que les dépens restent sinon impayés (Tappy, op. cit.,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(Tappy, op. cit., n. 39 ad art. 99 CPC). Le demandeur ne peut ainsi être astreint à fournir des sûretés en garantie des dépens que si l’une des quatre conditions alternatives prévues par l’art. 99 al. 1 CPC est réalisée. c) En l’espèce, le premier juge a considéré à juste titre que, dès lors qu’une procédure concordataire était en cours, la demanderesse devait être présumée insolvable, et cela de manière irréfragable. Il importe peu à cet égard que la masse concordataire dispose ou non d’actifs suffisants pour couvrir ses dettes. Le moyen de la recourante doit dès lors être rejeté.</w:t>
      </w:r>
    </w:p>
    <w:p>
      <w:r>
        <w:rPr>
          <w:b/>
        </w:rPr>
        <w:t>E. 4</w:t>
      </w:r>
    </w:p>
    <w:p>
      <w:r>
        <w:t>a) La recourante soutient également que le concordat par abandon d’actifs, auquel elle a consenti, a été homologué, de sorte que la procédure concordataire ne serait plus « en cours » au sens de l’art. 99 al. 1 let. b CPC. b) Une fois homologué, le concordat doit encore être exécuté, de sorte qu’en lui-même, il ne représente qu’une partie de la procédure concordataire qui peut se poursuivre durant plusieurs années (arrêt du Handelsgericht du canton de Zurich du 30 novembre 2012, Blätter für die Zürcherische Rechtsprechung [ZR] 111/2012 p. 264 c. 4, cité par Rüegg, Basler Kommentar, 2 e éd., 2013, n. 14 ad art. 99 CPC). Le concordat peut également être révoqué, en vertu de l’art. 313 LP (loi fédérale sur la poursuite pour dettes et la faillite du 11 avril 1889 ; RS 281.1), lorsqu’il est entaché de mauvaise foi (Gilliéron, Poursuites pour dettes, faillites et concordat, 5 e éd., Bâle 2012, n. 3193). Enfin, lorsque le concordataire est inscrit au registre du commerce, il faut ajouter à sa raison de commerce les mots « en liquidation concordataire » (Gilliéron, op. cit., n. 3220). c) En l’espèce, contrairement à ce que soutient la recourante, l’homologation n’a pas mis fin à la procédure concordataire dans la mesure où, comme mentionné précédemment, une fois homologué, le concordat doit encore être exécuté. De plus, il résulte de la dénomination de la demanderesse ressortant du registre du commerce, dont le contenu consiste en des faits notoires (ATF 138 III 557 c. 6.2 et les références citées), ainsi que de celle figurant sur l’intitulé de son acte de recours que la demanderesse est encore « en liquidation concordataire ». C’est donc à juste titre que le premier juge a considéré que la procédure concordataire n’était pas achevée et qu’il a ainsi astreint la recourante à fournir des sûretés.</w:t>
      </w:r>
    </w:p>
    <w:p>
      <w:r>
        <w:rPr>
          <w:b/>
        </w:rPr>
        <w:t>E. 5</w:t>
      </w:r>
    </w:p>
    <w:p>
      <w:r>
        <w:t>Il s’ensuit que le recours doit être rejeté selon le mode procédural de l’art. 322 al. 1 CPC et la décision entreprise confirmée. Les frais judiciaires de deuxième instance, arrêtés à 800 fr. (art. 69 al. 1 TFJC [tarif des frais judiciaires civils du 28 septembre 2010, RSV 270.11.5]), sont mis à la charge de la recourante qui succombe (art. 106 al. 1 CPC). Il n’y a pas lieu à l’allocation de dépens, l’intimée n’ayant pas été invitée à se déterminer. Par ces motifs, la Chambre des recours civile du Tribunal cantonal, prononce : I. Le recours est rejeté. II. La décision est confirmée. III. Les frais judiciaires de deuxième instance, arrêtés à 800 fr. (huit cents francs), sont mis à la charge de la recourante N.________SA en liquidation concordataire. IV. L’arrêt motivé est exécutoire. Le président :               Le greffier : Du 30 juin 2015 Le dispositif de l'arrêt qui précède est communiqué par écrit aux intéressés. Le greffier : Du L'arrêt qui précède, dont la rédaction a été approuvée à huis clos, est notifié en expédition complète, par l'envoi de photocopies, à : ‑ Me Jean-Daniel Théraulaz (pour N.________SA en liquidation concordataire) ‑ Me Benoît Bovay (pour J.________SA)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