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600 vom 13. Juli 2015</w:t>
      </w:r>
    </w:p>
    <w:p>
      <w:r>
        <w:t>VD Tribunal cantonal, 2015-07-13, FR</w:t>
      </w:r>
    </w:p>
    <w:p>
      <w:r>
        <w:rPr>
          <w:b/>
        </w:rPr>
        <w:t xml:space="preserve">Quelle: </w:t>
      </w:r>
      <w:r>
        <w:t>https://mcp.opencaselaw.ch/entscheid/vd_findinfo_HC___2015___600</w:t>
      </w:r>
    </w:p>
    <w:p>
      <w:r>
        <w:t>FR: VD_FINDINFO HC / 2015 / 600 du 13 juillet 2015</w:t>
      </w:r>
    </w:p>
    <w:p>
      <w:r>
        <w:t>IT: VD_FINDINFO HC / 2015 / 600 del 13 luglio 2015</w:t>
      </w:r>
    </w:p>
    <w:p>
      <w:pPr>
        <w:pStyle w:val="Heading2"/>
      </w:pPr>
      <w:r>
        <w:t>Regeste</w:t>
      </w:r>
    </w:p>
    <w:p>
      <w:r>
        <w:t>PROTECTION DE L'UNION CONJUGALE, MODIFICATION DES CIRCONSTANCES, REVENU HYPOTHÉTIQUE, REJET DE LA DEMANDE | 179 al. 1 CC, 179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Il n’est cependant pas arbitraire d’appliquer strictement l’art. 317 CPC dans tous les litiges auxquels s’applique la maxime inquisitoire, même concernant des contributions envers les enfants (TF 5A_342/2013 du 27 septembre 2013 c. 4.1.2 ; TF 5A_22/2014 du 13 mai 2014 c. 4.2, RSPC 2014 p. 456). En l’espèce, les pièces n° 3, 4, 6 et 8 produites par N.________ à l’appui de son appel sont irrecevables, dès lors qu’elles auraient pu être invoquées en procédure de première instance, que l’appelant n’établit pas avoir fait preuve de la diligence requise et qu’il n’invoque pas de violation de la maxime inquisitoire illimitée. Il en va de même pour la pièce n° 5 qui, certes postérieure à la clôture de l’instruction, aurait pu cependant être établie auparavant, de manière à être produite en première instance. En revanche, les pièces n° 7, 9, 10 et 11, qui ont trait à l’évolution de l’état de santé de l’appelant et aux démarches entreprises auprès de l’Office AI depuis la clôture de l’instruction, sont recevables, celles-ci n’ayant pas pu être invoquées en première instance. Il en est tenu compte dans l’examen du présent appel dans la mesure de leur pertinence.</w:t>
      </w:r>
    </w:p>
    <w:p>
      <w:r>
        <w:rPr>
          <w:b/>
        </w:rPr>
        <w:t>E. 3</w:t>
      </w:r>
    </w:p>
    <w:p>
      <w:r>
        <w:t>a) Se prévalant de ses problèmes de santé, survenus postérieurement au prononcé de mesures protectrices de l’union conjugale du 2 juillet 2014, l’appelant conteste pouvoir réaliser mensuellement un revenu hypothétique de 3'500 francs. Il en résulte pour l’appelant que les conditions de l’art. 179 al. 1 CC (Code civil suisse du 10 décembre 1907 ; RS 210) seraient réalisées, les mesures protectrices de l’union conjugale précédemment prononcées devant être adaptées à ces circonstances nouvelles. b/aa) Une fois ordonnées, les mesures protectrices de l’union conjugale ne peuvent être modifiées qu'aux conditions de l'art. 179 CC (TF 5A_22/2014 du 13 mai 2014 c. 3.1 ; TF 5A_547/2012 du 14 mars 2013 c.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(TF 5A_245/2013 du 24 septembre 2013 c. 3.1 ; TF 5A_101/2013 du 25 juillet 2013 c. 3.1; TF 5A_400/2012 du 25 février 2013 c. 4.1 ; TF 5A_218/2012 du 29 juin 2012 c. 3.3.2, publié  in: FamPra.ch 2012 p. 1099 ; TF 5A_511/2010 du 4 février 2011 c. 2.1).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5A_153/2013 du 24 juillet 2013 c. 2.1 ; TF 5A_147/2012 du 26 avril 2012 c. 4.2.1), car la procédure de modification n'a pas pour but de corriger le premier jugement, mais de l'adapter aux circonstances nouvelles ( ATF 131 III 189 c. 2.7.4 [au sujet de l'art. 129 CC] ; sur le tout : TF 5A_33/2015 du 28 avril 2015). Le fait revêt un caractère nouveau lorsqu'il n'a pas été pris en considération pour fixer la contribution d'entretien dans le jugement précédent ( ATF 137 III 604 c. 4.1.1 ; ATF 131 III 189 c. 2.7.4 ; TF 5A_829/2012 du</w:t>
      </w:r>
    </w:p>
    <w:p>
      <w:r>
        <w:rPr>
          <w:b/>
        </w:rPr>
        <w:t>E. 7</w:t>
      </w:r>
    </w:p>
    <w:p>
      <w:r>
        <w:t>mai 2013 c. 3.1). Il n'est donc pas décisif qu'il ait été imprévisible à ce moment-là. On présume néanmoins que la contribution d'entretien a été fixée en tenant compte des modifications prévisibles, soit celles qui, bien que futures, sont déjà certaines ou fort probables ( ATF 131 III 189 c. 2.7.4 ; TF 5A_845/2010 du 12 avril 2011 c. 4.1). Le moment déterminant pour apprécier si un fait nouveau s'est produit est la date du dépôt de la demande de modification ( ATF 137 III 604 c. 4.1.1 ; ATF 120 II 285 c. 4b).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 11.1.1 ; ATF 137 III 604 c. 4.1.2; TF 5A_140/2013 du 28 mai 2013 c. 4.1 ; TF 5A_547/2012 du 14 mars 2013 c.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 2.3). bb)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 4a ; TF 5A_99/2011 du 26 septembre 2011 c. 7.4.1, publié in FamPra.ch 2012 228 ; TF 5A_290/2010 du 28 octobre 2010 c. 3.1, publié in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 ATF 126 III 10 c. 2b). Pour arrêter le montant du salaire, le juge peut éventuellement se baser sur l’enquête suisse sur la structure des salaires, réalisée par l’Office fédéral de la statistique, ou sur d’autres sources (ATF 137 III 118 c. 3.2 ; TF 5A_99/2011 du 26 septembre 2011 c. 7.4.1, publié in FamPra.ch 2012 p. 228 ss et les références citées). c) En l’espèce, si l’on peut admettre que l’appelant n’est plus en mesure d’exercer une activité à plein temps dans le cadre de laquelle il devrait porter des charges lourdes, il ressort du certificat médical établi le 23 mai 2015 par le [...] que sa capacité de travail est sauvegardée à 100% s’agissant d’une activité adaptée à son état de santé. Même s’il n’est pas titulaire d’une formation professionnelle reconnue, l’expérience accumulée depuis son arrivée en Suisse devrait toujours lui permettre d’obtenir un revenu de l’ordre de 3'500 fr. dans le cadre d’activités simples et répétitives ne nécessitant pas le port de lourdes charges. Il ressort ainsi de l’Enquête suisse sur la structure des salaires, à laquelle s’est référée la Présidente dans son ordonnance du 2 juillet 2014, que le salaire mensuel brut moyen dans la branche des activités de transports, y compris le transport de personnes, dans lequel pourrait œuvrer l’appelant sans port de lourdes charges, s’élève pour un homme sans qualifications à 5'062 francs. Pour d’autres professions accessibles à l’appelant, notamment le domaine du commerce de détail, il s’élève dans le canton de Vaud à 3'890 fr. et, dans le domaine de la restauration et de l’hôtellerie, à 3'910 fr. (cf. http://cms2.unige.ch/ses/lea/oue/projet/salaires/scris/index.php). Le grief soulevé par l’appelant est dès lors inconsistant, la procédure de modification n’ayant pas pour but de corriger le premier jugement mais de l’adapter à des circonstances nouvelles. 4. Il s’ensuit que l’appel doit être rejeté selon le mode procédural de l’art. 312 al. 1 CPC et l’ordonnance entreprise confirmée. La requête d’assistance judiciaire doit être rejetée au motif que la cause était d’emblée dépourvue de toute chance de succès (art. 117 let. b CPC). L’arrêt peut être rendu sans frais judiciaires de deuxième instance (art. 10 al. 1 TFJC [tarif des frais judiciaires civils du 28 septembre 2010 ; RSV 270.11.5]). Il n’y a pas lieu à l’allocation de dépens, l’intimée n’ayant pas été invitée à se déterminer. Par ces motifs, le Juge délégué de la Cour d’appel civile du Tribunal cantonal, prononce : I. L’appel est rejeté. II. L’ordonnance est confirmée. III. La requête d’assistance judiciaire de l’appelant N.________ est rejetée. IV. L’arrêt est rendu sans frais. V. L’arrêt motivé est exécutoire. Le juge délégué : Le greffier : Du 13 juillet 2015 Le dispositif de l'arrêt qui précède est communiqué par écrit aux intéressés. Le greffier : Du L'arrêt qui précède, dont la rédaction a été approuvée à huis clos, est notifié en expédition complète, par l'envoi de photocopies à : ‑ Me Céline Jarry-Lacombe (pour N.________) ‑ Me Michèle Meylan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