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595 vom 2. Juli 2015</w:t>
      </w:r>
    </w:p>
    <w:p>
      <w:r>
        <w:t>VD Tribunal cantonal, 2015-07-02, FR</w:t>
      </w:r>
    </w:p>
    <w:p>
      <w:r>
        <w:rPr>
          <w:b/>
        </w:rPr>
        <w:t xml:space="preserve">Quelle: </w:t>
      </w:r>
      <w:r>
        <w:t>https://mcp.opencaselaw.ch/entscheid/vd_findinfo_HC___2015___595</w:t>
      </w:r>
    </w:p>
    <w:p>
      <w:r>
        <w:t>FR: VD_FINDINFO HC / 2015 / 595 du 2 juillet 2015</w:t>
      </w:r>
    </w:p>
    <w:p>
      <w:r>
        <w:t>IT: VD_FINDINFO HC / 2015 / 595 del 2 luglio 2015</w:t>
      </w:r>
    </w:p>
    <w:p>
      <w:pPr>
        <w:pStyle w:val="Heading2"/>
      </w:pPr>
      <w:r>
        <w:t>Regeste</w:t>
      </w:r>
    </w:p>
    <w:p>
      <w:r>
        <w:t>OBJET DU RECOURS, COMPÉTENCE, AUTORISATION DE PROCÉDER, DÉCISION D'IRRECEVABILITÉ | 308 al. 1 let. a CPC (CH), 308 CPC (CH)</w:t>
      </w:r>
    </w:p>
    <w:p>
      <w:pPr>
        <w:pStyle w:val="Heading2"/>
      </w:pPr>
      <w:r>
        <w:t>Erwägungen</w:t>
      </w:r>
    </w:p>
    <w:p>
      <w:r>
        <w:rPr>
          <w:b/>
        </w:rPr>
        <w:t>E. 2</w:t>
      </w:r>
    </w:p>
    <w:p>
      <w:r>
        <w:t>Par acte du 23 juin 2015, P.________ a interjeté appel à l’encontre de la décision du 21 mai 2015, concluant, sous suite de frais et dépens, à ce que la décision soit annulée, respectivement réformée, et à ce que le Tribunal de Prud’hommes saisi soit reconnu non compétent pour instruire et juger la cause, la requête de conciliation présentée par P.________ étant déclarée irrecevable.</w:t>
      </w:r>
    </w:p>
    <w:p>
      <w:r>
        <w:rPr>
          <w:b/>
        </w:rPr>
        <w:t>E. 3</w:t>
      </w:r>
    </w:p>
    <w:p>
      <w:r>
        <w:t>a) L’appel est recevable contre les décisions finales de première instance (art. 308 al. 1 let. a CPC [Code de procédure civile du 19 décembre 2008, RS 272] au sens de l’art. 236 CPC, dans les causes patrimoniales dont la valeur litigieuse au dernier état des conclusions devant l’autorité précédente est de 10’000 fr. au moins (art. 306 aI. 2 CPC). L’appel, écrit et motivé, est introduit dans les trente jours à compter de la notification de la décision motivée ou de la notification postérieure de la motivation (art. 311 al. 1 CPC). Le Tribunal fédéral considère de manière générale que l’autorisation de procéder ne constitue pas une décision et qu’aucune voie de droit n’est ouverte à son encontre (ATF 139 III 273 c. 2 = RSPC 2013 p. 400, note Bohnet; TF 4A_387/2013 du 17 février 2014 c. 3.2, non publié in ATF 140 III 70). La validité de cette autorisation de procéder doit être contestée immédiatement (soit dans la réponse) dans la procédure au fond (ATF 138 III 273 c. 2.3 = RSPC 2013 p. 400 note Bohnet, ad CACI 7 décembre 2012/567: grief d’incompétence manifeste de l’autorité de conciliation). Le défendeur qui ne soulève pas l’incompétence manifeste devant l’autorité de conciliation n’agit pas de manière contraire à la bonne foi en invoquant le moyen dans le cadre de la réponse au fond, dès lors qu’il ne dispose d’aucune voie de droit pour s’en prendre directement à l’autorisation de procéder (ATF 139 III 273 c. 2). b) En l’espèce, l’appel est dirigé contre le prononcé, figurant au procès- verbal, de ne pas déclarer la requête irrecevable en raison de l’incompétence ratione materiae du juge saisi. Il faut toutefois déduire de l’arrêt précité qu’il ne pouvait y avoir lieu à une décision séparée d’admission de compétence au stade de la conciliation, seule une décision d’irrecevabilité étant concevable à ce stade, notamment pour cause d’incompétence manifeste (JT 2011 III 185). En réalité, la Vice-Présidente du Tribunal de Prud’hommes n’aurait pas du formaliser sa décision sur la recevabilité par un prononcé, mais délivrer l’autorisation de procéder, ce qui revenait implicitement à admettre sa compétence. Il y a donc lieu d’admettre que matériellement, l’appel est dirigé contre l’autorisation de procéder délivrée à l’intimé. Or, la voie de l’appel n’est pas ouverte dans ce cas et elle ne peut l’être par le seul fait que le premier juge a statué en deux temps.</w:t>
      </w:r>
    </w:p>
    <w:p>
      <w:r>
        <w:rPr>
          <w:b/>
        </w:rPr>
        <w:t>E. 4</w:t>
      </w:r>
    </w:p>
    <w:p>
      <w:r>
        <w:t>Au vu de ce qui précède, l’appel doit être déclaré irrecevable. Conformément à l’art. 114 let. c CPC, il ne sera pas perçu de frais judiciaires de deuxième instance. Il n’y a au demeurant pas matière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