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 vom 14. Januar 2015</w:t>
      </w:r>
    </w:p>
    <w:p>
      <w:r>
        <w:t>VD Tribunal cantonal, 2015-01-14, FR</w:t>
      </w:r>
    </w:p>
    <w:p>
      <w:r>
        <w:rPr>
          <w:b/>
        </w:rPr>
        <w:t xml:space="preserve">Quelle: </w:t>
      </w:r>
      <w:r>
        <w:t>https://mcp.opencaselaw.ch/entscheid/vd_findinfo_HC___2015___59</w:t>
      </w:r>
    </w:p>
    <w:p>
      <w:r>
        <w:t>FR: VD_FINDINFO HC / 2015 / 59 du 14 janvier 2015</w:t>
      </w:r>
    </w:p>
    <w:p>
      <w:r>
        <w:t>IT: VD_FINDINFO HC / 2015 / 59 del 14 gennaio 2015</w:t>
      </w:r>
    </w:p>
    <w:p>
      <w:pPr>
        <w:pStyle w:val="Heading2"/>
      </w:pPr>
      <w:r>
        <w:t>Regeste</w:t>
      </w:r>
    </w:p>
    <w:p>
      <w:r>
        <w:t>CONVENTION SUR LES EFFETS ACCESSOIRES DU DIVORCE, ERREUR ESSENTIELLE, DOL{VICE DU CONSENTEMENT}, PUPILLE | 23 CO, 279 CPC (CH), 317 CPC (CH)</w:t>
      </w:r>
    </w:p>
    <w:p>
      <w:pPr>
        <w:pStyle w:val="Heading2"/>
      </w:pPr>
      <w:r>
        <w:t>Erwägungen</w:t>
      </w:r>
    </w:p>
    <w:p>
      <w:r>
        <w:rPr>
          <w:b/>
        </w:rPr>
        <w:t>E. 1</w:t>
      </w:r>
    </w:p>
    <w:p>
      <w:r>
        <w:t>let. a et al. 2 CPC). b) En l’espèce, l’appelant prétend avoir découvert postérieurement à la conclusion de la convention sur les effets accessoires du divorce intervenue le 14 août 2014 que celle-ci serait entachée de vices du consentement, de sorte qu’il n’y serait pas obligé. Formé en temps utile (art. 311 al. 1 CPC) par une partie qui y a intérêt (art. 59 al. 2 let. a CPC) et portant sur une valeur litigieuse supérieure à 10'000 fr.,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 II, 2 e éd., Berne 2010, n. 2399, p. 435). L’autorité d’appel applique le droit d’office: elle n’est pas liée par les motifs invoqués par les parties ou par le Tribunal de première instance (Hohl, op. cit., n. 2396, p. 435 ; Spühler, in Schweizerische Zivilprozessordnung, Bâle 2010, n. 1 ad art. 311 CPC , qui parle de "vollkommenes Rechtsmittel "). Dans le cas particulier, l’appel est possible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 art. 310 let. a CPC ) et de la réappréciation des faits, voire des novas permis par les règles prévalant en la matière (art. 310 let. b et 317 let. a CPC ).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 art. 279 CPC (cf. Tappy, op. cit., n. 28 ad art. 279 CPC et n. 16 ad art. 289 CPC ; JT 2013 III 67 ; TF 5A_74/2014 du 5 août 2014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Il appartient à l’appelant de démontrer que ces conditions sont réalisées, de sorte que l’appel doit indiquer spécialement de tels faits et preuves nouveaux et motiver spécialemen t les raisons qui les rendent admissibles selon lui ( JT 2011 III 43 c. 2 et les réf. citées). c) En l’espèce, l’appelant soutient qu’il était prévu que la vente du terrain de 3'100 m², sis en Equateur, intervienne avant la ratification de la convention et dénonce le fait que cette vente n’aurait à ce jour pas encore été opérée. Pour l’appelant, il s’agirait là d’un fait nouveau, devant être pris en compte aux termes de l’art. 317 al. 1 CPC et justifiant l’audition des parties et du curateur [...], à titre de nouvelles mesures d’instruction. On ne voit toutefois pas dans quelle mesure l’absence de vente du terrain constituerait un fait nouveau, dès lors que les termes de la convention sont clairs (« [l]es deux terrains ont été mis en vente et un acheteur est prêt à acquérir le premier, celui de 3'100 m², pour US $ 930'000.- ») et démontrent bien que le terrain va être vendu et non pas qu’il l’a déjà été. La convention ne contient au demeurant aucune clause conditionnant sa validité ou sa ratification à la vente effective du terrain. Les conditions de l’art. 317 al. 1 CPC n’étant pas remplies, le fait nouveau allégué est irrecevable et les mesures d’instruction requises doivent être refusées.</w:t>
      </w:r>
    </w:p>
    <w:p>
      <w:r>
        <w:rPr>
          <w:b/>
        </w:rPr>
        <w:t>E. 3</w:t>
      </w:r>
    </w:p>
    <w:p>
      <w:r>
        <w:t>a) L’appelant soutient que la convention sur les effets accessoires du divorce signée le 14 août 2014 serait entachée de dol, dès lors que l’intimée savait que la vente effective de leur terrain de 3'100 m² en Equateur avait une importance fondamentale pour l’appelant. Celui-ci relève également s’être trouvé dans l’erreur au moment de conclure la convention, soutenant qu’il n’aurait pas conclu la convention s’il avait su que le terrain n’était pas vendu. b)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23ss CO [Loi fédérale complétant le Code civil suisse [livre cinquième : Droit des obligations] du 30 mars 1911 ; RS 220]), ni sous l’emprise du dol (art. 28 CO) ou de la menace (art. 29 CO). Elle n’oblige toutefois pas le juge à rechercher des vices du consentement cachés, la maxime des débats étant applicable (FF 1996 I 144 ; TF 5A_899/2007 du 2 octobre 2008 c. 6.3.1, FamPra.ch 2009 p. 749). La partie victime d’un vice du consentement supporte le fardeau de l’allégation et le fardeau de la preuve de ce vice (art. 8 CC ; ATF 97 II 339 c. 1b). L’art. 28 al. 1 CO prévoit que la partie induite à contracter par le dol de l’autre n’est pas obligée, même si son erreur n’est pas essentielle. L’application de cette disposition nécessite d’une part que le cocontractant ait été trompé intentionnellement et, d’autre part, que la tromperie ait abouti : en d’autres termes, le dol doit être la cause de la conclusion du contrat, le cocontractant doit avoir influencé sa victime (ATF 136 III 528 c. 3.4.2). Le dol peut être commis par l’affirmation de faits faux ou réticence de faits vrais lorsque la bonne foi oblige à parler ou à renseigner (ATF 132 II 161 c. 4.1). L’erreur qui constitue un obstacle à la ratification d’une convention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ignorer un fait ne se trompe pas ; sa méconnaissance consciente ne peut pas être considérée comme une erreur. De même, celui qui doute de l’exactitude de sa représentation n’a ni une fausse représentation, ni une absence de représentation et, partant, il ne peut être dans l’erreur (Gauch/Schluep/Schmid/Rey, Schweizerisches Obligationenrecht, allgemeiner Teil, vol. I, 9 e éd., Zurich 2008, n° 762-763; Schmidlin, Berner Kommentar, Obligationenrecht, Berne 2013, n. 9 ss ad art. 23, 24 CO ). Dans le domaine des transactions judiciaires et extrajudiciaires, dont font partie les conventions sur les effets accessoires du divorce, les art. 23ss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 2 ; TF 5A_187/2013 du 4 octobre 2013 c. 7.1, FamPra 2014 p. 409 ; TF 5A_688/2013 du 14 avril 2014 c. 8.2, SJ 2014 I 369).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 caput controversum )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 3a ; TF 5A_187/2013 du 4 octobre 2013 c. 7.1 ; TF 5A_688/2013 du 14 avril 2014 c. 8.2). Lorsque les parties ont renoncé à établir un inventaire détaillé de la fortune dont chacun dispose, qu’elles n’ont pas non plus jugé nécessaire d’alléguer en procédure les éléments de cette fortune, il n’y a plus de place pour l’invocation d’une erreur portant sur des éléments de fortune qui n’auraient pas été pris en considération, l’erreur ne pouvant porter que sur un fait que les parties considéraient comme donné (TF 5A_187/2013 du 4 octobre 2013 c. 7.1 ; TF 5A_688/2013 du 14 avril 2014 c. 8.2). c) En l’espèce, l’appelant ne fournit pas le moindre élément permettant de déduire l’existence d’un vice du consentement lors de la conclusion de la convention. Les termes de celle-ci tendent au contraire à démontrer l’absence de vice du consentement, la convention stipulant expressément que la vente prévue était encore à intervenir. Ce moyen doit dès lors être rejeté, le dol et l’erreur allégués n’ayant pas été prouvés et l’appelant devant supporter, en application de l’art. 8 CC, les conséquences de l’échec de la preuve.</w:t>
      </w:r>
    </w:p>
    <w:p>
      <w:r>
        <w:rPr>
          <w:b/>
        </w:rPr>
        <w:t>E. 4</w:t>
      </w:r>
    </w:p>
    <w:p>
      <w:r>
        <w:t>En définitive, l’appel doit être rejeté et le jugement confirmé. Les frais judiciaires de deuxième instance, arrêtés à 2'500 fr. (art. 63 al. 3 TFJC [tarif des frais judiciaires civils du 28 septembre 2010 ;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