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585 vom 2. Juni 2015</w:t>
      </w:r>
    </w:p>
    <w:p>
      <w:r>
        <w:t>VD Tribunal cantonal, 2015-06-02, FR</w:t>
      </w:r>
    </w:p>
    <w:p>
      <w:r>
        <w:rPr>
          <w:b/>
        </w:rPr>
        <w:t xml:space="preserve">Quelle: </w:t>
      </w:r>
      <w:r>
        <w:t>https://mcp.opencaselaw.ch/entscheid/vd_findinfo_HC___2015___585</w:t>
      </w:r>
    </w:p>
    <w:p>
      <w:r>
        <w:t>FR: VD_FINDINFO HC / 2015 / 585 du 2 juin 2015</w:t>
      </w:r>
    </w:p>
    <w:p>
      <w:r>
        <w:t>IT: VD_FINDINFO HC / 2015 / 585 del 2 giugno 2015</w:t>
      </w:r>
    </w:p>
    <w:p>
      <w:pPr>
        <w:pStyle w:val="Heading2"/>
      </w:pPr>
      <w:r>
        <w:t>Regeste</w:t>
      </w:r>
    </w:p>
    <w:p>
      <w:r>
        <w:t>CONTRAT DE TRAVAIL, RÉSILIATION, CONSTATATION DES FAITS, POUVOIR D'EXAMEN, NOUVEAU MOYEN DE FAIT | 335 al. 1 CO, 320 let. b CPC (CH), 326 al. 1 CPC (CH)</w:t>
      </w:r>
    </w:p>
    <w:p>
      <w:pPr>
        <w:pStyle w:val="Heading2"/>
      </w:pPr>
      <w:r>
        <w:t>Erwägungen</w:t>
      </w:r>
    </w:p>
    <w:p>
      <w:r>
        <w:rPr>
          <w:b/>
        </w:rPr>
        <w:t>E. 1</w:t>
      </w:r>
    </w:p>
    <w:p>
      <w:r>
        <w:t>L’art. 319 let. a CPC (Code de procédure civile du 19 décembre 2008 ; RS 272) ouvre la voie du recours contre les décisions finales de première instance dans la mesure où la valeur litigieuse de première instance est inférieure à 10'000 fr. (art. 308 al. 2 CPC a contrario). Interjeté en temps utile par une partie y ayant un intérêt, le recours est recevable.</w:t>
      </w:r>
    </w:p>
    <w:p>
      <w:r>
        <w:rPr>
          <w:b/>
        </w:rPr>
        <w:t>E. 2</w:t>
      </w:r>
    </w:p>
    <w:p>
      <w:r>
        <w:t>CO (Code des obligations du 30 mars 1911 ; RS 220), car donné durant la période de protection de nonante jours dès la deuxième année de service en cas d’incapacité de travail pour cause de maladie (art. 336c al. 1 let. b CO), l’intimée étant en incapacité de travail à la date du congé.</w:t>
      </w:r>
    </w:p>
    <w:p>
      <w:r>
        <w:rPr>
          <w:b/>
        </w:rPr>
        <w:t>E. 3</w:t>
      </w:r>
    </w:p>
    <w:p>
      <w:r>
        <w:t>juin 2015 Le dispositif de l'arrêt qui précède est communiqué par écrit aux intéressés. Le greffier : Du L'arrêt qui précède, dont la rédaction a été approuvée à huis clos, est notifié en expédition complète, par l'envoi de photocopies, à : ‑ Q.________ Sàrl, ‑ Syndicat Unia (pour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