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58 vom 14. Januar 2015</w:t>
      </w:r>
    </w:p>
    <w:p>
      <w:r>
        <w:t>VD Tribunal cantonal, 2015-01-14, FR</w:t>
      </w:r>
    </w:p>
    <w:p>
      <w:r>
        <w:rPr>
          <w:b/>
        </w:rPr>
        <w:t xml:space="preserve">Quelle: </w:t>
      </w:r>
      <w:r>
        <w:t>https://mcp.opencaselaw.ch/entscheid/vd_findinfo_HC___2015___58</w:t>
      </w:r>
    </w:p>
    <w:p>
      <w:r>
        <w:t>FR: VD_FINDINFO HC / 2015 / 58 du 14 janvier 2015</w:t>
      </w:r>
    </w:p>
    <w:p>
      <w:r>
        <w:t>IT: VD_FINDINFO HC / 2015 / 58 del 14 gennaio 2015</w:t>
      </w:r>
    </w:p>
    <w:p>
      <w:pPr>
        <w:pStyle w:val="Heading2"/>
      </w:pPr>
      <w:r>
        <w:t>Regeste</w:t>
      </w:r>
    </w:p>
    <w:p>
      <w:r>
        <w:t>EXPULSION DE LOCATAIRE, DÉCISION SUR FRAIS, DÉPENS | 257d CO, 95 CPC (CH)</w:t>
      </w:r>
    </w:p>
    <w:p>
      <w:pPr>
        <w:pStyle w:val="Heading2"/>
      </w:pPr>
      <w:r>
        <w:t>Erwägungen</w:t>
      </w:r>
    </w:p>
    <w:p>
      <w:r>
        <w:rPr>
          <w:b/>
        </w:rPr>
        <w:t>E. 1</w:t>
      </w:r>
    </w:p>
    <w:p>
      <w:r>
        <w:t>a) Lorsque seule la décision sur les frais, qui comprennent les dépens (art. 95 al. 1 let. b CPC) est litigieuse, elle ne peut être attaquée que par un recours (art. 110 et 319 let. b ch. 1 CPC ; Tappy, CPC commenté, Bâle 2011, n. 3 ad art. 110 CPC, p. 437). Tel est le cas en espèce, les recourants contestant les frais et dépens mis à leur charge. b) Adressé en temps utile à l’autorité compétente par des personnes qui y ont un intérêt digne de protection (art. 59 al. 1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ZPO, 2 e éd., Bâle 2013, n. 26 ad art. 319 CPC, p. 1811).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1291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CPC commenté, op. cit., n. 6 ad art. 327 CPC, p. 1287). Aux termes de l’art. 326 CPC, les conclusions, les allégations de faits et les preuves nouvelles sont irrecevables.</w:t>
      </w:r>
    </w:p>
    <w:p>
      <w:r>
        <w:rPr>
          <w:b/>
        </w:rPr>
        <w:t>E. 3</w:t>
      </w:r>
    </w:p>
    <w:p>
      <w:r>
        <w:t>al. 2 TDC). Selon l’art. 11 TDC, applicable aux agents d’affaires brevetés en première instance en matière de procédure sommaire, le défraiement est notamment de 1’125 fr. à 4500 fr. pour une valeur litigieuse comprise entre 30’001 fr. et 100’000 francs. En cas de litige portant sur la résiliation d’un bail, la valeur litigieuse, calculée selon le droit fédéral, est égale au loyer de la période minimum pendant laquelle le contrat subsiste si la résiliation n’est pas valable, période qui s’étend jusqu’à la date pour laquelle un nouveau congé aurait pu être donné. En principe, la durée déterminante pour le calcul de la valeur litigieuse ne saurait être inférieure à la période de trois ans pendant laquelle l’art. 271a al. 1 let. e CO consacre l’annulabilité d’une résiliation (JT 2011 III 83 et les références citées). c) En l’espèce, il résulte des éléments du dossier que le prononcé attaqué fait suite à l’exécution forcée d’une ordonnance d’expulsion qui s’est déroulée le 24 septembre 2014. Il appartenait aux recourants de donner suite d’abord aux mises en demeure de l’intimée. Les recourants ont ainsi provoqué l’ordonnance d’expulsion. Il est donc justifié qu’ils soient reconnus débiteurs des frais consécutifs à cette décision, ainsi que de dépens à la partie adverse, dans la mesure où ils succombent dans la procédure. Il y a lieu de relever par ailleurs qu’il est clairement stipulé dans l’avis d’exécution forcée, qu’en cas d’absence des locataires lors de l’expulsion, des frais supplémentaires (notamment de serrurier) seront mis à leur charge. En outre, le premier juge a appliqué correctement l’art. 28 TFJC en fixant les frais judiciaires de première instance à 662 francs. Il en va de même des dépens, arrêtés à 300 fr., conformément aux art. 3 al. 2 et 11 TDC compte tenu de la valeur litigieuse et de l’activité déployée par le mandataire professionnel dans la présente affaire.</w:t>
      </w:r>
    </w:p>
    <w:p>
      <w:r>
        <w:rPr>
          <w:b/>
        </w:rPr>
        <w:t>E. 4</w:t>
      </w:r>
    </w:p>
    <w:p>
      <w:r>
        <w:t>Les recourants semblent également soutenir que la convention de sortie conclue entre les parties le 23 septembre 2014 rendait superflue toute intervention supplémentaire le 24 septembre 2014 et, partant, les frais en découlant. Il découle toutefois des chiffres 3 et 4 de cette convention que des clés devaient encore être remises. Or aucun élément au dossier ne permet d’inférer que toutes les clés auraient été remises par les recourants le 23 septembre 2014, la partie adverse n’ayant par ailleurs pas confirmé sa disponibilité pour la remise des clés à cette date. Il ressort en outre du rapport de l’huissier du 24 septembre 2014 que la gérance avait « des clés », ce qui ne signifie pas qu’elle avait en sa possession toutes les clés. Dès lors, un changement de serrure s’imposait.</w:t>
      </w:r>
    </w:p>
    <w:p>
      <w:r>
        <w:rPr>
          <w:b/>
        </w:rPr>
        <w:t>E. 5</w:t>
      </w:r>
    </w:p>
    <w:p>
      <w:r>
        <w:t>Compte tenu de ce qui précède, le recours doit être rejeté et le prononcé entrepris confirmé. Les frais judiciaires de deuxième instance, arrêtés à 100 fr. (art. 69 al. 1 TFJC), sont mis à la charge des recourants, qui succombent (art. 106 al. 1 CPC), solidairement entre eux. L’intimée n’ayant pas été invitée à se déterminer sur le recours, il n’y a pas lieu à l’allocation de dépens.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des recourants B.C.________ et A.C.________, solidairement entre eux. IV. L’arrêt est exécutoire. Le président :               La greffière : Du L'arrêt qui précède, dont la rédaction a été approuvée à huis clos, est notifié en expédition complète, par l'envoi de photocopies, à : ‑ Mme B.C.________, ‑ M. A.C.________, - M. Jacques Lauber, agent d’affaires breveté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