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564 vom 10. Juni 2015</w:t>
      </w:r>
    </w:p>
    <w:p>
      <w:r>
        <w:t>VD Tribunal cantonal, 2015-06-10, FR</w:t>
      </w:r>
    </w:p>
    <w:p>
      <w:r>
        <w:rPr>
          <w:b/>
        </w:rPr>
        <w:t xml:space="preserve">Quelle: </w:t>
      </w:r>
      <w:r>
        <w:t>https://mcp.opencaselaw.ch/entscheid/vd_findinfo_HC___2015___564</w:t>
      </w:r>
    </w:p>
    <w:p>
      <w:r>
        <w:t>FR: VD_FINDINFO HC / 2015 / 564 du 10 juin 2015</w:t>
      </w:r>
    </w:p>
    <w:p>
      <w:r>
        <w:t>IT: VD_FINDINFO HC / 2015 / 564 del 10 giugno 2015</w:t>
      </w:r>
    </w:p>
    <w:p>
      <w:pPr>
        <w:pStyle w:val="Heading2"/>
      </w:pPr>
      <w:r>
        <w:t>Regeste</w:t>
      </w:r>
    </w:p>
    <w:p>
      <w:r>
        <w:t>ACTION EN PATERNITÉ, MESURE PROVISIONNELLE, OBLIGATION D'ENTRETIEN, DEVOIR DE COLLABORER | 276 al. 1 CC, 276 al. 2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citées, in SJ 2013 I 311).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 2.3 ; TF 4A_309/2011 du 16 décembre 2013 c. 3.2, SJ 2014 I 196). Selon le Tribunal fédéral,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Procédure civile, tome II, 2 e éd., Berne 2010, n. 2414 p. 438). Des novas peuvent par ailleurs être en principe librement introduits en appel dans les causes régies par la maxime d'office, par exemple sur la situation des enfants mineurs en droit matrimonial (Tappy, Les voies de droit du nouveau Code de procédure civile, JT 2010 III 139). b) En l’espèce, l’appelant a produit une copie de sa déclaration d’impôt 2014, du bilan et du résultat d’exploitation de l’année 2014 non révisés de la société R.________Sàrl, ainsi que plusieurs récépissés de bulletins de versement. Bien que rédigés le 29 avril 2015, soit durant le délai d’appel de dix jours et postérieurement à l’audience de mesures provisionnelles du 31 mars 2015, la déclaration d’impôt et les bilan et compte d’exploitation ne sont pas des pièces nouvelles, puisque l’appelant aurait pu les produire au plus tard jusqu’à l’audience du 31 mars 2015. En tous les cas, il ne dit pas en quoi il aurait été empêché de le faire avant cette date. De surcroît, il est manifeste que l’appelant tente de réparer ses propres carences, puisqu’il n’a pas jugé utile de comparaître tant à l’audience de la Juge de paix du district de Lausanne du 2 octobre 2014 qu’à l’audience du Président du Tribunal d’arrondissement du 31 mars 2015, ni de produire une quelconque pièce relative à sa situation financière durant la procédure de première instance. Il en va de même pour les récépissés de bulletins de versements datés du 27 avril 2015 qui concernent notamment des paiements courants. Il s’ensuit que toutes les pièces produites en appel doivent être déclarées irrecevables. En outre, il n’apparaît pas que le juge de première instance aurait violé la maxime inquisitoire en ne prenant pas en considération certains faits, dès lors que dite maxime ne dispense pas les parties de collaborer activement à la procédure et d'étayer leurs propres thèses et que c’est à elles qu'il revient, en premier lieu, de renseigner le juge sur les faits de la cause et de lui indiquer les moyens de preuve disponibles, ce que l’appelant n’a de toute évidence pas fait (TF 5A_99/2011 du 26 septembre 2011 c. 5.1 ; ATF 128 III 411 c. 3.2.1).</w:t>
      </w:r>
    </w:p>
    <w:p>
      <w:r>
        <w:rPr>
          <w:b/>
        </w:rPr>
        <w:t>E. 4</w:t>
      </w:r>
    </w:p>
    <w:p>
      <w:r>
        <w:t>L’appelant soutient que l’ordonnance ne préserve pas son minimum vital, en s’appuyant sur les pièces produites en appel dont on a vu qu’elles étaient irrecevables. Il y a donc lieu de statuer sur la base des éléments que le premier juge avait à disposition, à savoir que la mère de l’enfant prétend ne disposer d’aucun revenu et que le père présumé, gérant d’un garage de motocycles, prétend que ses affaires ont diminué. Dans ces circonstances, c’est à bon droit que le premier juge a pris en compte, à titre provisionnel et au stade de la vraisemblance, un revenu mensuel net de 3'500 fr. et attribué 15 % de ce montant à l’enfant A.J.________ selon la méthode abstraite appliquée dans le canton de Vaud. Comme évoqué ci-dessus, dès lors que l’appelant a été défaillant dans l’instruction de première instance, il ne peut s’en prendre qu’à lui-même et doit en supporter les conséquences. L’appelant serait avisé de s’adjoindre les conseils d’un mandataire professionnel et/ou de demander l’assistance judiciaire dans le cadre de la procédure au fond.</w:t>
      </w:r>
    </w:p>
    <w:p>
      <w:r>
        <w:rPr>
          <w:b/>
        </w:rPr>
        <w:t>E. 5</w:t>
      </w:r>
    </w:p>
    <w:p>
      <w:r>
        <w:t>Les frais judiciaires de deuxième instance sont arrêtés à 600 fr. (art. 63 al. 1 TFJC [tarif des frais judiciaires civils du 28 septembre 2010 ; RSV 270.11.5]) et mis à la charge de l'appelant, qui succombe (art. 106 al. 1 CPC). Par ces motifs, le juge délégué de la Cour d’appel civile du Tribunal cantonal, prononce : I. L’appel est rejeté. II. L’ordonnance est confirmée. III. Les frais judiciaires de deuxième instance, arrêtés à 600 fr. (six cents francs), sont mis à la charge de l’appelant C.________. IV. L'arrêt motivé est exécutoire. Le juge délégué : La greffière : Du 12 juin 2015 Le dispositif de l'arrêt qui précède est communiqué par écrit aux intéressés. La greffière : Du L'arrêt qui précède, dont la rédaction a été approuvée à huis clos, est notifié en expédition complète, par l'envoi de photocopies à : ‑ M. C.________ ‑ Me Nicolas Marthe (pour A.J.________)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