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519 vom 10. Juni 2015</w:t>
      </w:r>
    </w:p>
    <w:p>
      <w:r>
        <w:t>VD Tribunal cantonal, 2015-06-10, FR</w:t>
      </w:r>
    </w:p>
    <w:p>
      <w:r>
        <w:rPr>
          <w:b/>
        </w:rPr>
        <w:t xml:space="preserve">Quelle: </w:t>
      </w:r>
      <w:r>
        <w:t>https://mcp.opencaselaw.ch/entscheid/vd_findinfo_HC___2015___519</w:t>
      </w:r>
    </w:p>
    <w:p>
      <w:r>
        <w:t>FR: VD_FINDINFO HC / 2015 / 519 du 10 juin 2015</w:t>
      </w:r>
    </w:p>
    <w:p>
      <w:r>
        <w:t>IT: VD_FINDINFO HC / 2015 / 519 del 10 giugno 2015</w:t>
      </w:r>
    </w:p>
    <w:p>
      <w:pPr>
        <w:pStyle w:val="Heading2"/>
      </w:pPr>
      <w:r>
        <w:t>Regeste</w:t>
      </w:r>
    </w:p>
    <w:p>
      <w:r>
        <w:t>PROTECTION DE L'UNION CONJUGALE, MOBILIER, AUTOMOBILE | 176 al. 1 ch. 2 CC, 308 al. 2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w:t>
      </w:r>
    </w:p>
    <w:p>
      <w:r>
        <w:rPr>
          <w:b/>
        </w:rPr>
        <w:t>E. 1.2</w:t>
      </w:r>
    </w:p>
    <w:p>
      <w:r>
        <w:t>En l'espèce, l'appel a été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3.1</w:t>
      </w:r>
    </w:p>
    <w:p>
      <w:r>
        <w:t>L'appelant conteste l'obligation qui lui est faite de restituer à l'intimée le véhicule de marque [...]. Il fait valoir que le couple dispose d'une voiture et d'une moto et qu'il a désormais un travail qui l'oblige à faire environ 50 km par jour, soit un trajet plus long que son épouse, de sorte qu'on "ne voit pas pourquoi elle ne pourrait pas le faire au moyen de la moto et laisser la voiture à l'appelant". L'intimée pour sa part relève que l'appelant ne précise pas quel est son nouveau travail et où il se trouve, pas plus qu'il ne produit de document permettant de l'établir. En admettant que l'appelant ait bien trouvé un nouvel emploi, l'intimée fait valoir que ses horaires de travail irréguliers en qualité d'aide-soignante ne lui permettent pas de se rendre à son travail au moyen des transports publics, raison pour laquelle elle a d'ailleurs fait l'acquisition du véhicule en question. Elle soutient également que l'appelant, adepte des "deux-roues", possédait déjà une moto avec laquelle il effectuait les déplacements jusqu'à son travail lorsqu'elle a acheté la voiture. Pour le surplus, l'intimée explique qu'elle ne possède pas de permis de conduire pour motocycles.</w:t>
      </w:r>
    </w:p>
    <w:p>
      <w:r>
        <w:rPr>
          <w:b/>
        </w:rPr>
        <w:t>E. 3.2</w:t>
      </w:r>
    </w:p>
    <w:p>
      <w:r>
        <w:t>A la requête de l'un des conjoints et si la suspension de la vie commune est fondée, le juge prend les mesures en ce qui concerne le logement et le mobilier du ménage (art. 176 al. 1 ch. 2 CC [Code civil suisse du 10 décembre 1907, RS 210]). Lors de l’attribution de biens mobiliers – un véhicule automobile pouvant entrer dans la notion de mobilier de ménage (ATF 114 II 18 c. 4) –, est déterminante la réglementation qui paraît appropriée et non le fait que l’un des époux soit propriétaire ou possède un meilleur droit aux objets concernés (ibid; TF 5P.476/2006 du 16 janvier 2007 c. 4). Lorsqu'il s'agit d'attribuer la jouissance du domicile conjugal, la jurisprudence impose au juge d'examiner à quel époux le domicile conjugal est le plus utile ("grösserer Nutzen"). Ce critère conduit à attribuer le logement à celui des époux qui en tirera objectivement le plus grand bénéfice, au vu de ses besoins concrets (TF 5A_930/2012 du 16 mai 2013 c. 3.3.2; TF 5A_416/2012 du 13 septembre 2012 c. 5.1, in SJ 2013 I 159; ATF 120 II 1 c. 2c). Le même raisonnement vaut pour le mobilier de ménage. Ainsi, dans le cas présent, le juge des mesures protectrices de l’union conjugale doit attribuer provisoirement la voiture à l’une des parties en faisant usage de son pouvoir d’appréciation et indépendamment de la question de savoir qui en est le propriétaire. Il doit procéder à une pesée des intérêts en présence, de façon à prononcer la mesure la plus adéquate au vu des circonstances concrètes. Il convient donc d’examiner à qui l’attribution du véhicule est le plus utile. A cet égard, on peut en particulier prendre en considération l’utilisation qui en était faite pendant la vie commune.</w:t>
      </w:r>
    </w:p>
    <w:p>
      <w:r>
        <w:rPr>
          <w:b/>
        </w:rPr>
        <w:t>E. 3.3</w:t>
      </w:r>
    </w:p>
    <w:p>
      <w:r>
        <w:t>En l’espèce, il apparaît – à tout le moins au degré de la vraisemblance – que le véhicule [...] a été acquis par l’épouse : la facture du garage [...] du 17 juillet 2009, d’un montant total de 18’500 fr., est libellée au nom de l'intimée. Celle-ci fait valoir qu'elle a payé l'acompte de 12'000 fr. au moyen de ses économies. Elle a signé seule le contrat "Financement Plus" de vente par acomptes prévoyant le paiement du solde en douze mensualités de 575 fr.30. Elle explique en outre de manière plausible que le permis de circulation a été mis au nom de son mari, conducteur plus ancien, afin que les primes d’assurance soient moins élevées. Il apparaît ainsi que ce véhicule a été acquis par l'intimée pour ses trajets professionnels, alors que l'appelant possédait déjà une moto, et qu'il a été utilisé par l'épouse pour se rendre à son travail, alors que le mari utilisait pour sa part la moto. Le fait que l'intimée ne possède pas de permis de conduire pour motocycle corrobore l'allégation selon laquelle chaque époux utilisait un moyen de transport différent: voiture pour l'épouse et moto pour le mari. Le fait que l'appelant ait désormais un plus long trajet professionnel à accomplir en raison de son nouveau domicile – ce qui n'est au demeurant pas attesté par les pièces au dossier – ne change rien au fait que l'intimée a toujours besoin d’un véhicule pour se rendre deux fois par jour à son travail et qu’elle ne dispose pas du permis de conduire des motocycles, contrairement à l'appelant qui peut continuer à utiliser sa moto pour ses trajets professionnels. Le prononcé échappe ainsi à la critique en tant qu’il attribue le véhicule [...] à l'intimée.</w:t>
      </w:r>
    </w:p>
    <w:p>
      <w:r>
        <w:rPr>
          <w:b/>
        </w:rPr>
        <w:t>E. 4</w:t>
      </w:r>
    </w:p>
    <w:p>
      <w:r>
        <w:t>Il résulte de ce qui précède que l’appel, mal fondé, doit être rejeté et l’ordonnance entreprise confirmée. Dès lors que l'appelant succombe, les frais judiciaires de deuxième instance, arrêtés à 600 fr. (art. 65 al. 2 TFJC [tarif des frais judiciaires civils du 28 septembre 2010; RSV 270.11.5), seront laissés provisoirement à la charge de l’Etat (art. 106 al. 1 et 122 al. 1 let. b CPC). L’appelant versera à l’intimée une indemnité de 700 fr. à titre de dépens pour la procédure d’appel (art. 106 al. 1 et 122 al. 1 let. d CPC). En sa qualité de conseil d’office de l'appelant, Me Yves Hofstetter a droit à une rémunération équitable pour ses opérations et débours dans la procédure d’appel (art. 122 al. 1 let. a CPC). Celui-ci a produit, en date du 9 juin 2015, une liste des opérations indiquant 3 heures de travail consacré à la procédure de deuxième instance. Une telle durée est toutefois excessive vu la simplicité des opérations en cause. Une indemnité correspondant à 2 heures de travail d'avocat, au tarif horaire de 180 fr. hors TVA (art. 2 al. 1 let. a et b RAJ [Règlement sur l'assistance judiciaire en matière civile, RSV 211.02.3]), apparaît suffisante et adéquate. L’indemnité d’office due à Me Hofstetter doit ainsi être arrêtée à 360 fr. pour ses honoraires, plus 28 fr. 80 de TVA au taux de 8% et un montant de 21 fr. 60, TVA comprise, pour ses débours, soit une indemnité totale de 410 fr. 40. L’intimée étant également au bénéfice de l’assistance judiciaire, son conseil d’office a droit à une indemnité équitable dans l’hypothèse où les dépens qui lui ont été alloués ne pourraient pas être recouvrés (art. 122 al. 2 CPC ; art. 4 RAJ). Au vu de la liste des opérations produite le 9 juin 2015, par laquelle Me Jeton Kryeziu invoque avoir consacré 2 heures 15 à la procédure d'appel, durée qui peut être admise, cette indemnité sera fixée à 405 fr. pour ses honoraires, plus 32 fr. 40 de TVA et un montant de 21 fr. 60, TVA compris, pour ses débours, soit une indemnité totale de 459 francs. Les bénéficiaires de l’assistance judiciaire sont, dans la mesure de l’art. 123 CPC, tenus au remboursement des frais judiciaires et de l’indemnité à leur conseil d’office mis à la charge de l’Etat. Par ces motifs, le Juge délégué de la Cour d’appel civile du Tribunal cantonal prononce : I. L’appel est rejeté. II. L’ordonnance est confirmée. III. Les frais judiciaires de deuxième instance, arrêtés à 600 fr. (six cents francs) pour l’appelant, sont laissés provisoirement à la charge de l’Etat. IV. L’appelant A.M.________ versera à l’intimée T.________, la somme de 700 fr. (sept cents francs) à titre de dépens. V. L’indemnité de Me Yves Hofstetter, conseil d’office de l’appelant, est arrêtée à 442 fr. 80 (quatre cent quarante-deux francs et huitante centimes), TVA et débours compris. VI. L’indemnité de Me Jeton Kryeziu, conseil d’office de l’intimée, est arrêtée à 459 fr. (quatre cent cinquante-neuf francs), TVA et débours compris. VII. Les bénéficiaires de l’assistance judiciaire sont, dans la mesure de l’art. 123 CPC, tenus au remboursement des frais judiciaires et de l’indemnité à leur conseil d’office mis à la charge de l’Etat. VIII. L’arrêt motivé est exécutoire. Le juge délégué : La greffière : Du 11 juin 2015 Le dispositif de l'arrêt qui précède est communiqué par écrit aux intéressés. La greffière : Du L'arrêt qui précède, dont la rédaction a été approuvée à huis clos, est notifié en expédition complète, par l'envoi de photocopies à : ‑ Me Yves Hofstetter (pour A.M.________), ‑ Me Jeton Kryeziu (pour T.________).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