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518 vom 11. Juni 2015</w:t>
      </w:r>
    </w:p>
    <w:p>
      <w:r>
        <w:t>VD Tribunal cantonal, 2015-06-11, FR</w:t>
      </w:r>
    </w:p>
    <w:p>
      <w:r>
        <w:rPr>
          <w:b/>
        </w:rPr>
        <w:t xml:space="preserve">Quelle: </w:t>
      </w:r>
      <w:r>
        <w:t>https://mcp.opencaselaw.ch/entscheid/vd_findinfo_HC___2015___518</w:t>
      </w:r>
    </w:p>
    <w:p>
      <w:r>
        <w:t>FR: VD_FINDINFO HC / 2015 / 518 du 11 juin 2015</w:t>
      </w:r>
    </w:p>
    <w:p>
      <w:r>
        <w:t>IT: VD_FINDINFO HC / 2015 / 518 del 11 giugno 2015</w:t>
      </w:r>
    </w:p>
    <w:p>
      <w:pPr>
        <w:pStyle w:val="Heading2"/>
      </w:pPr>
      <w:r>
        <w:t>Regeste</w:t>
      </w:r>
    </w:p>
    <w:p>
      <w:r>
        <w:t>MESURE PROVISIONNELLE, DROIT DE GARDE | 134 CC, 310 al. 1 CC, 276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patrimoniales dont la valeur litigieuse, au dernier état des conclusions, est de 10’000 fr. au moins (art. 308 al. 2 CPC). Les causes portant sur le droit de la famille qui, comme en l’espèce, ne concernent pas uniquement les aspects financiers du divorce ou de sa modification ne sont pas patrimoniales (Jeandin, CPC commenté, Bâle 2011, n. 12 ad art. 308 CPC, p. 1243). Partant, la voie de l’appel est ouverte.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 RSV 173.01]). Formé en temps utile par une partie qui y a intérêt (art. 59 al. 2 let. a CPC), le présent appel est recevable à la forme. La curatelle à des fins d’assistance éducative instituée par le premier juge en application de l’art. 308 CC ne se confond pas avec la curatelle de représentation au sens de l’art. 299 CPC accordant au représentant en question des droits de procédure (art. 300 CPC). Aussi, dans le cas d’espèce, la curatrice n’est pas partie à l’appel et c’est pour information seulement que l’arrêt de la Cour de céans sera communiqué au SPJ.</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(Jeandin, op. cit., n. 6 ad art. 310 CPC, p. 1249 s.).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en principe être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Dès lors que la cause porte sur la situation d’enfants mineurs, la maxime d’office et la maxime inquisitoire illimitée sont applicables (Hohl, Procédure civile, Tome II, 2 e éd., Berne 2010, nn. 2099 et 2161, pp. 383 et 395). Les pièces nouvelles produites par les parties sont dès lors recevables.</w:t>
      </w:r>
    </w:p>
    <w:p>
      <w:r>
        <w:rPr>
          <w:b/>
        </w:rPr>
        <w:t>E. 3</w:t>
      </w:r>
    </w:p>
    <w:p>
      <w:r>
        <w:t>L’appelant fait valoir que l’intérêt et le bien des enfants doivent l’emporter en toutes circonstances et que le prolongement de la situation actuelle, tel que préconisé par le premier juge, ne va pas dans ce sens. Il insiste sur les violences ou maltraitances verbales et physiques des enfants par leur mère fondant une urgence à les en soustraire sans égard au récent retrait de l’intimée en matière d’exigences scolaires. Il évoque en particulier le refus d’activités extrascolaires, les devoirs pouvant durer jusqu’à trois heures par jour en incluant les devoirs scolaires surveillés, prolongés parfois tard dans la nuit ou repris tôt le matin, les critiques sur l’alimentation et les restrictions alimentaires pour lutter contre le surpoids des enfants (pas de petit déjeuner), un climat familial marqué par l’énervement et les cris de la mère, les menaces de mise en foyer des enfants ou de suicide de la mère, les gifles, bourrades ou mains serrées, la peur des enfants, les repas pris séparément entre adultes et enfants. Il invoque le souhait des enfants d’aller vivre chez leur père, l’appui du SPJ et la persistance de violences, après l’audition des enfants, au moins à une reprise selon un courrier du 17 mars 2015. De son côté, l’intimée s’appuie sur les aspects juridiques en contestant l’urgence et la nécessité d’un changement d’attribution, niant toute mise en danger des enfants et insistant sur les améliorations survenues. a/aa)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Sutter-Somm/Hasenböhler/Leuenberger, Kommentar zur Schweizerischen Zivilprozessordnung, Zurich 2010, n. 32 ad art. 284 CPC, p. 1671 s. ; van der Graaf, in Kurzkommentar ZPO, Bâle 2010, n. 6 ad art. 284 CPC, p. 1099 ; Siehr, in Basler Kommentar, Bâle 2010, n. 8 ad art. 284 CPC, p. 1384; Schwenzer, FamKomm Scheidung, Band I: ZGB, Berne 2011, n. 52 ad art. 129 CC, p. 318; contra Tappy, CPC commenté, Bâle 2011,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les mesures provisionnelles requises dans le cadre d’un procès en modification du jugement de divorce ne sont admises qu’en cas d’urgence et en présence de circonstances particulières (ATF 118 II 228 c. 3b et les arrêts cités; Tappy, op. cit., n. 8 ad art. 276 CPC, p. 1088). Aux termes des art. 134 al. 3, 2 e phrase, et 315b al. 1 ch. 2 CC, le juge matrimonial est compétent pour statuer sur une modification litigieuse de l’attribution de l’autorité parentale (Meier, in Commentaire romand, Bâle 2010, n. 28 ad art. 315 à 315b CC, p. 1956). Par attraction de compétence, il est également compétent pour statuer sur le prononcé ou la modification de mesures de protection (Meier, op. cit., n. 31 ad art. 315 à 315b CC, p. 1958). ab) L’exercice de l’autorité parentale, comme du droit de garde qui en est une composante, doit poursuivre en toutes circonstances le bien de l’enfant (art. 301 al. 1 CC). Si ce bien est menacé et que les parents n’y remédient pas d’eux- mêmes, ou s’ils sont hors d’état de le faire, l’autorité tutélaire – respectivement le juge chargé de régler les relations des père et mère avec l’enfant (art. 315a al. 1 CC) – prend les dispositions adéquates pour la protection de l’enfant (art. 307 ss CC).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Vol. III, tome II, 1, p. 247; Meier/Stettler, Droit de la filiation, 4 e éd., 2009, n. 1216, p. 699). Lorsqu’elle ne peut éviter, par une mesure moins grave, que le développement de l’enfant ne soit compromis, l’autorité compétente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 e éd., Berne 1998, adaptation française par Meier, n. 27.36, p. 194). Les dissensions entre parents peuvent également représenter un danger pour l’enfant (Hegnauer, op. cit., n. 27.14, p. 186). ac)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 5.3; ATF 117 II 353 c. 3; ATF 115 II 206 c. 4a; ATF 115 II 317 c. 2; cf. aussi TF 5A_181/2008 du 25 avril 2008, FanmPra.ch 4/2007,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A capacités équivalentes, il n’est pas arbitraire d’attribuer le droit de garde au parent qui a démontré depuis plusieurs mois qu’il pouvait s’occuper de l’enfant (TF 5A_693/2007 concernant des mesures protectrices de l’union conjugale).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(Juge délégué CACI, 20 décembre 2011/411). La garde peut aussi être attribuée à celui qui, malgré une disponibilité personnelle inférieure, a la garde des enfants depuis cinq ans, d’autant plus qu’il offre un cadre propice à l’épanouissement des enfants (TF 5A_793/2010 du 14 novembre 2011 c. 4.2.2).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soeurs, avec les camarades de classe et les amis, ainsi qu’au maintien de l’environnement scolaire et de loisirs (Bräm, Zürcher Kommentar, n. 76 ad art. 176 CC, p. 618; Juge délégué CACI, 23 janvier 2012/36). Sans être déterminants à eux seuls, le logement et la stabilité de l’environnement dans lequel évolue l’enfant peuvent être pris en compte, car ils peuvent aussi contribuer au bien de l’enfant (TF 5A_223/2012 du 13 juillet 2012 c. 5.4). b) Le premier juge a retenu que les deux filles exprimaient clairement le souhait de vivre chez leur père, qu’elles se plaignaient de l’attitude de leur mère ayant adopté un comportement durablement inadéquat envers elles sur le plan scolaire, que l’enfant [...] avait confié ses craintes, angoisses et souffrances à une enseignante ce qui avait abouti à un signalement au SPJ et qu’au terme de ses investigations, celui-ci avait préconisé un transfert provisoire de la garde au père. Constatant toutefois qu’un changement de comportement était intervenu depuis le début de la procédure en ce sens que la mère collaborait avec le SPJ pour favoriser un suivi psychologique individuel des enfants et des consultations pour améliorer la relation maternelle, que les enfants avaient décrit une amélioration depuis leur audition, que les exigences scolaires de la mère s’étaient réduites, le premier juge a considéré que les conditions à un transfert provisoire de garde n’étaient pas réunies, que l’urgence n’était pas établie et que la stabilité assurée aux enfants devait primer. c) En l’espèce, il est indéniable que les deux filles souffrent d’une situation conflictuelle entre leurs parents et qu’elles sont prises dans un conflit de loyauté qu’elles doivent gérer au mieux. Le contexte difficile dans lequel [...] et [...] évoluent emprunt de tensions entre les parents qui ne communiquent plus entre eux, se dénigrent l’un l’autre, ne peut que les fragiliser et les déstabiliser, alors qu’elles ont besoin de repères, ce d’autant plus qu’elles atteignent l’âge délicat de l’adolescence. Ainsi, il ne fait aucun doute que la souffrance exprimée par les filles, le mal-être qu’elles ressentent et leurs appels au secours sont plus à mettre en lien avec le contexte général difficile du conflit parental qu’en raison d’une maltraitance psychologique et/ou physique qu’exercerait la mère à leur égard. Il apparaît certes, comme l’a relevé le premier juge, que la mère, sans aucun doute soucieuse de l’avenir de ses filles, a eu des comportements inadéquats à l’égard de celles-ci, générant chez elles des sentiments de peur et d’angoisse. Toutefois, le SPJ a relevé une amélioration de la situation évoquée notamment par les filles qui ont reconnu que leur mère avait « fait des efforts » depuis leur audition par la juge déléguée. Le SPJ, qui a précisé, bien que l’appelant le conteste, que le nœud du problème se situait au niveau scolaire et plus particulièrement au niveau des exigences que la mère avait à cet égard, a déclaré que, depuis son intervention, il y avait moins de pression de celle-ci par rapport à la scolarité des enfants et qu’elle avait « lâché » du point de vue scolaire. A cet égard, il convient également de relever que l’intimée a pris très vite conscience du caractère nuisible de la situation pour les enfants et qu’elle a cherché à y remédier par tous les moyens. Elle a en effet accueilli favorablement l’intervention du SPJ à qui elle a avoué son sentiment d’impuissance à l’égard des filles, ne sachant plus comment y faire face, et elle a souscrit aux recommandations formulées, notamment la mise en place d’un suivi psychologique individuel pour les filles et la mise en place de consultations visant à améliorer le lien mère-fille, mesures qui ne peuvent qu’être favorables au bien-être et au bon développement des enfants. C’est sans compter également qu’un soutien AEMO va être mis en place et qu’une mesure de curatelle d’assistance éducative a été instaurée par le premier juge. Il ressort par ailleurs des déclarations de tous les professionnels en contact avec le mère qu’elle se montre collaborante, démontrant ainsi une volonté de s’engager pour trouver une solution. Si l’appelant craint que l’intimée n’adopte à l’avenir des comportements inadéquats à l’égard des enfants, la batterie de mesures mises en place doit permettre de le rassurer et d’éviter une éventuelle dérive. Du reste, on peut escompter qu’avec la période des vacances scolaires qui approche, les tensions liées aux résultats scolaires s’aplaniront, ce qui ne peut que contribuer à une amélioration de la qualité de la relation qui existe entre l’intimée et ses filles. Cela étant, il convient également de relever que le père vit dans une situation précaire. En effet, il n’a actuellement pas de logement et réside temporairement chez sa mère. Il ne dispose par ailleurs d’aucun revenu lui permettant de s’acquitter de la pension courante. On voit dès lors mal qu’il puisse offrir un cadre stable propice à l’épanouissement de ses filles. Dans ce contexte, il apparaît prudent d’attendre le résultat de l’expertise pédopsychiatrique mise en œuvre et d'éviter, dans l'intervalle, de prendre une décision à la hâte qui ne ferait que déstabiliser les enfants et bouleverser leur environnement. Le statu quo doit ainsi être privilégié en l’état.</w:t>
      </w:r>
    </w:p>
    <w:p>
      <w:r>
        <w:rPr>
          <w:b/>
        </w:rPr>
        <w:t>E. 4</w:t>
      </w:r>
    </w:p>
    <w:p>
      <w:r>
        <w:t>En définitive, l’appel doit être rejeté et l’ordonnance entreprise confirmée. Les frais judiciaires, arrêtés à 600 fr. (art. 65 al. 2 TFJC [tarif des frais judiciaires civils du 28 septembre 2010 ; RSV 270.11.5]), sont mis à la charge de l’appelant qui succombe (art. 106 al. 1 CPC). L’appelant versera à l’intimée une somme de 2'500 fr. (art. 14 al. 2 TDC [tarif des dépens en matière civile du 23 novembre 2010 ; RSV 270.11.6]), à titre de dépens de deuxième instance. Par ces motifs, le Juge délégué de la Cour d’appel civile du Tribunal cantonal, prononce : I. L’appel est rejeté. II. L’ordonnance est confirmée. III. Les frais judiciaires de deuxième instance, arrêtés à 600 fr. (six cents francs), sont mis à la charge de l’appelant J.________. IV. L’appelant J.________ versera à l’intimée Z.________ une somme de 2’500 fr. (deux mille cinq cents francs), à titre de dépens de deuxième instance. V. L’arrêt est exécutoire. Le juge délégué : La greffière : Du L'arrêt qui précède, dont la rédaction a été approuvée à huis clos, est notifié à : ‑ Me Cécile Maud Tirelli (pour J.________), ‑ Me Alain Dubuis (pour Z.________). Il est également communiqué pour information au : - Service de protection de la jeunesse. Le Juge délégué de la Cour d’appel civile considère qu’il s’agit d’une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