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517 vom 12. Juni 2015</w:t>
      </w:r>
    </w:p>
    <w:p>
      <w:r>
        <w:t>VD Tribunal cantonal, 2015-06-12, FR</w:t>
      </w:r>
    </w:p>
    <w:p>
      <w:r>
        <w:rPr>
          <w:b/>
        </w:rPr>
        <w:t xml:space="preserve">Quelle: </w:t>
      </w:r>
      <w:r>
        <w:t>https://mcp.opencaselaw.ch/entscheid/vd_findinfo_HC___2015___517</w:t>
      </w:r>
    </w:p>
    <w:p>
      <w:r>
        <w:t>FR: VD_FINDINFO HC / 2015 / 517 du 12 juin 2015</w:t>
      </w:r>
    </w:p>
    <w:p>
      <w:r>
        <w:t>IT: VD_FINDINFO HC / 2015 / 517 del 12 giugno 2015</w:t>
      </w:r>
    </w:p>
    <w:p>
      <w:pPr>
        <w:pStyle w:val="Heading2"/>
      </w:pPr>
      <w:r>
        <w:t>Regeste</w:t>
      </w:r>
    </w:p>
    <w:p>
      <w:r>
        <w:t>EXPULSION DE LOCATAIRE, DEMEURE DU DÉBITEUR | 257d al. 2 CO</w:t>
      </w:r>
    </w:p>
    <w:p>
      <w:pPr>
        <w:pStyle w:val="Heading2"/>
      </w:pPr>
      <w:r>
        <w:t>Erwägungen</w:t>
      </w:r>
    </w:p>
    <w:p>
      <w:r>
        <w:rPr>
          <w:b/>
        </w:rPr>
        <w:t>E. 1</w:t>
      </w:r>
    </w:p>
    <w:p>
      <w:r>
        <w:t>a) L’art. 308 al. 1 CPC (Code de procédure civile du 19 décembre 2008 ; RS 2172) ouvre la voie de l’appel contre les décisions finales de première instance, dans la mesure où, pour les affaires patrimoniales, la valeur litigieuse est de 10'000 fr. au moins (art. 308 al. 2 CPC).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comme le loyer mensuel est de 950 fr., la valeur litigieuse de première instance (950 fr. x 12 mois) dépasse 10'000 fr., de sorte que la voie de l’appel est ouverte. b) L’ordonnance ayant été rendue en procédure sommaire, le délai d’appel est de dix jours à compter de la notification de la décision motivée (art. 314 al. 1 CPC). Formé en temps utile (art. 311 al. 1 CPC), par le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TF 4A_312/2013 du 17 octobre 2013 c. 3.2; cf. CACI 25 novembre 2014/607 c. 3a; CACI 6 mars 2014/102 c. 2b; CACI 10 juin 2013/289 c. 4a; CACI 6 mai 2013/237 c. 5a).</w:t>
      </w:r>
    </w:p>
    <w:p>
      <w:r>
        <w:rPr>
          <w:b/>
        </w:rPr>
        <w:t>E. 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Si le locataire entend opposer une créance en compensation, il doit le déclarer dans le délai de trente jours de l’art. 257d al. 1 CO (ATF 119 II 241 c. 6b/bb ; TF 4A_140/2014 du 6 août 2014 c. 5.2 et références). En présence de défauts de la chose louée, le locataire ne peut retenir tout ou partie du loyer et n’a que la possibilité de consigner le loyer selon la procédure définie à l’art 259g CO s’il veut échapper à la demeure et partant au congé donné en application de l’art. 257d CO (TF 4A_140/2014 précité, c. 5.2 et références). En l’espèce, dans le délai de trente jours imparti par le courrier du 10 novembre 2014, l’appelant n’a ni payé ni consigné les loyers en cause conformément à la procédure de l’art. 259g CO ni opposé la compensation avec ses créances découlant d’un éventuel loyer payé en trop et de défauts de l’appartement litigieux. Il était donc en demeure à l’échéance de ce délai et les intimés étaient donc en droit de résilier le bail en application de l’art. 257d CO, partant d’obtenir son expulsion en application de la procédure des cas clairs. Au demeurant, l’appelant ne pouvait plus invoquer des circonstances faisant apparaître le congé comme annulable au sens des art. 271 et 271a CO ou contraire à la bonne foi, dès lors qu’il n’avait pas saisi la commission de conciliation d’une requête en annulation du congé dans le délai de trente jours dès la réception de celui-ci (art. 273 al. 1 CO) (TF 4C.430/2004 du 8 février 2005 c. 3.2.1, in SJ 2005 I 310 ; ATF 133 III 175 c. 3.3.4, JT 2008 I 314). En outre, les circonstances invoquées par le recourant (loyer trop élevé, insultes, défauts de la chose louée, mesures de rétorsion), ne font pas apparaître le congé comme nul ou inefficace. Enfin dans la mesure où l’appelant entend déposer plainte pénale contre les intimés, ni le Juge de paix, ni la Cour de céans, autorités judiciaires civiles, ne sont  compétentes pour la recevoir. 4, En conclusion, l’appel doit être rejeté selon le mode procédural de l’art. 312 al. 1 CPC et l’ordonnance confirmée. Vu le rejet de l’appel, les frais judiciaires de deuxième instance, arrêtés à 100 fr. (art. 62 al. 3 et 69 al. 1 TFJC [tarif du 28 septembre 2010 des frais judiciaires civils]), seront mis à la charge de l’appelant (art. 106 al. 1 CPC). Le délai de libération des locaux en cause étant échu du fait de l’effet suspensif accordé à l’appel, il convient de renvoyer la cause au premier juge afin qu’il fixe à l’appelant un nouveau délai pour libérer ces locaux.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