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512 vom 5. Juni 2015</w:t>
      </w:r>
    </w:p>
    <w:p>
      <w:r>
        <w:t>VD Tribunal cantonal, 2015-06-05, FR</w:t>
      </w:r>
    </w:p>
    <w:p>
      <w:r>
        <w:rPr>
          <w:b/>
        </w:rPr>
        <w:t xml:space="preserve">Quelle: </w:t>
      </w:r>
      <w:r>
        <w:t>https://mcp.opencaselaw.ch/entscheid/vd_findinfo_HC___2015___512</w:t>
      </w:r>
    </w:p>
    <w:p>
      <w:r>
        <w:t>FR: VD_FINDINFO HC / 2015 / 512 du 5 juin 2015</w:t>
      </w:r>
    </w:p>
    <w:p>
      <w:r>
        <w:t>IT: VD_FINDINFO HC / 2015 / 512 del 5 giugno 2015</w:t>
      </w:r>
    </w:p>
    <w:p>
      <w:pPr>
        <w:pStyle w:val="Heading2"/>
      </w:pPr>
      <w:r>
        <w:t>Regeste</w:t>
      </w:r>
    </w:p>
    <w:p>
      <w:r>
        <w:t>EXPERT, HONORAIRES | 242 al. 1 CPC</w:t>
      </w:r>
    </w:p>
    <w:p>
      <w:pPr>
        <w:pStyle w:val="Heading2"/>
      </w:pPr>
      <w:r>
        <w:t>Erwägungen</w:t>
      </w:r>
    </w:p>
    <w:p>
      <w:r>
        <w:rPr>
          <w:b/>
        </w:rPr>
        <w:t>E. 1</w:t>
      </w:r>
    </w:p>
    <w:p>
      <w:r>
        <w:t>a) Le prononcé attaqué a été rendu le 1 er avril 2015, de sorte que les voies de droit sont régies par le CPC (Code de procédure civile suisse du 19 décembre 2008 ; RS 272), entré en vigueur Ie 1 er janvier 2011 (art. 405 al. 1 CPC ; ATF 137 III 127 ; ATF 137 III 130 ; ATF 137 III 424 ; Tappy, in CPC commenté, Bâle 2011, nn. 5 ss ad art. 405 CPC). Cela étant, dès lors que la procédure au fond était en cours au 1 er janvier 2011, les règles applicables à la fixation des frais d'expertise sont celles de l'ancien droit de procédure cantonal (art. 404 al. 1 CPC), en particulier l’art. 242 CPC-VD (Code de procédure civile vaudoise du 14 décembre 1966) et l’art. 259 aTFJC (tarif des frais judiciaires en matière civile du 4 décembre 1984), qui classe les frais d'expertise parmi les débours (CREC 2 février 2012/48 ; CREC 6 octobre 2011/183 et les références citées). b) L’art. 319 let. b ch. 1 CPC (Code de procédure civile suisse du 19 décembre 2008,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"autres décisions" visées par l'art. 319 let. b CPC (Jeandin, CPC commenté, Bâle 2011, n. 15 ad art. 319 CPC), lesquelles sont soumises au délai de recours applicable à la procédure au fond (Jeandin, op. cit., n. 10 ad art. 321 CPC). La décision entreprise a été rendue dans le cadre d'une procédure ordinaire, le délai de recours est ainsi de 30 jours (art. 321 al. 1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Aux termes de l'art. 242 al. 1 CPC-VD, l'expert a droit au remboursement de ses frais et à des honoraires fixés par le juge qui a dirigé l'instruction. Concernant la rémunération de l’expert, le recours ne peut avoir pour objet, selon l’art. 242 al. 2 CPC-VD, que le montant des frais et honoraires de l’expert à l’exclusion de l’imputation de ces frais à la charge de l’une ou l’autre partie (PoudretlWurzburger/Haldy, Code annoté de procédure civile vaudoise, 3 e éd., n. 2 ad art. 242 CPC, p. 394). Le tarif des frais judiciaires en matière civile du 4 décembre 1984 est applicable, dès lors que les frais d’expertise constituent des débours (art. 2 al. 1 et 257 aTFJC). En vertu de l’art. 25 aTFJC, la juridiction saisie ne statue que dans les limites de l’abus du pouvoir d’appréciation, s’agissant de la fixation des honoraires de l’expert (Pdt TC, P. c. B., 26 octobre 1995). L’autorité de recours ne revoit cette question qu’avec retenue, l’appréciation des honoraires et débours de l’expert ne pouvant être réformée que lorsque la décision du premier juge apparaît arbitraire et manifestement mal fondée (Pdt TC, W. c. S. AG, 25 juillet 1995; B. &amp; R. Electricité SA c. Ingénieurs-conseils S. SA, 16 novembre 1995).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B. SA et G. SA c. W., 15 mai 1996; O. c. E. SA et C.,</w:t>
      </w:r>
    </w:p>
    <w:p>
      <w:r>
        <w:rPr>
          <w:b/>
        </w:rPr>
        <w:t>E. 7</w:t>
      </w:r>
    </w:p>
    <w:p>
      <w:r>
        <w:t>juin 1996). La qualité du travail de l’expert n’entre en considération que si le rapport est inutilisable, totalement ou partiellement, par exemple si l’expert n’a pas répondu aux questions qui lui étaient posées ou s’il ne l’a fait que très incomplètement, ou s’il n’a pas motivé ses réponses, ou s’il a présenté son rapport de manière incompréhensible, ou encore s’il s’est borné à formuler de simples appréciations ou affirmations (Pdt TC, B. SA et O., précités; B. &amp; R. Electricité SA, précité; CREC I du 13 avril 2000). b) En l’espèce, le recourant fait valoir que l’expert n’a pas répondu aux allégués soumis et que la note d’honoraires paraît excessive. Comme retenu par le premier juge, l’expert a répondu à l’allégué 129 en question, en indiquant ne pas être en mesure de confirmer l’allégué, ne disposant pas des éléments nécessaires et a produit un rapport complémentaire de deux pages, répondant aux autres allégués soumis. Par ailleurs, les démarches entreprises par l’expert suffisent à évaluer le travail fourni. Il convient de rappeler que l’autorité de recours ne revoit cette question qu’avec retenue et que sous l’angle de l’arbitraire, l’appréciation du premier juge ne parait ainsi pas mal fondée. On peut encore relever que le recourant ne s’est pas opposé au devis initial communiqué par l’expert, montant qui est supérieur à sa note d’honoraires. De plus, on pourrait considérer que la « diminution » de la note finale par rapport au devis initial prend déjà en compte le fait que l’expert n’a pas pu être en mesure de confirmer l’allégué 129. Ainsi, conformément à l’avis du premier juge, le temps consacré aux opérations ne parait ni déraisonnable, ni excessif compte tenu en particulier des déplacements que l’expert a dû effectuer. Au vu de ce qui précède, la décision entreprise ne paraît ni arbitraire ni manifestement mal fondée. Ce grief est donc mal fondé. c) Le recourant se plaint également d’une violation de son droit d’être entendu, au motif que l’expert n’aurait jamais entendu les parties en violation de l’art. 221 CPC-VD, ni procédé à une séance de mise en oeuvre comme indiqué par le juge instructeur. A cet égard, le premier juge a considéré que la procédure d’expertise ne prévoit pas spécifiquement la nécessité d’une séance de mise en œuvre et que rien n’empêchait le recourant de se manifester spontanément auprès de l’expert. S’agissant de la question d’une séance de mise en œuvre, il faut relever que la procédure d’expertise ne prévoit effectivement pas nécessairement la nécessité d’une telle séance. De toute manière, une éventuelle violation du droit d’être entendu à ce stade est sans rapport avec la fixation des honoraires de l’expert, seule question en cause dans la procédure de recours. Quant à l’art. 221 CPC-VD, il prévoit que les experts sont nommés et leur nombre est fixé par le juge qui dirige l’instruction, et les parties sont entendues.  Contrairement à ce que le recourant semble vouloir faire dire à cette disposition, on est ici dans le cadre de la nomination de l’expert (voire titre marginal de la disposition « Désignation des experts, nomination »), et c’est bien sûr dans ce cadre-là que cette disposition prévoit que les parties sont entendues (c’est d’ailleurs à ce moment là qu’elles doivent faire valoir tout motif de récusation). Ce grief du recourant doit être rejeté. 4. En conclusion, le recours doit être rejeté selon le mode procédural de l’art. 312 al. 1 CPC et le prononcé confirmé. Vu le rejet du recours, les frais judiciaires de deuxième instance, arrêtés à 400 fr. (art. 69 al.1 TFJC [tarif du 28 septembre 2010 des frais judiciaires civil ; RSV 270.11.5]) doivent être mis à la charge du recourant (art. 106 al. 1 CPC). Par ces motifs, la Chambre des recours civile du Tribunal cantonal, en application de l'art. 322 al. 1 CPC, prononce : I. Le recours est rejeté. II. Le prononcé est confirmé. III. Les frais judiciaires de deuxième instance, arrêtés à 400 fr. (quatre cents francs) sont mis à la charge du recourant Q.________. IV. L’arrêt motivé est exécutoire. Le président :               Le greffier : Du</w:t>
      </w:r>
    </w:p>
    <w:p>
      <w:r>
        <w:rPr>
          <w:b/>
        </w:rPr>
        <w:t>E. 8</w:t>
      </w:r>
    </w:p>
    <w:p>
      <w:r>
        <w:t>juin 2015 Le dispositif de l'arrêt qui précède est communiqué par écrit aux intéressés. Le greffier : Du L'arrêt qui précède, dont la rédaction a été approuvée à huis clos, est notifié en expédition complète, par l'envoi de photocopies, à : ‑ Me Marc-Etienne Favre (pour Q.________), ‑ Me Eric Muster (pour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