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500 vom 7. Mai 2015</w:t>
      </w:r>
    </w:p>
    <w:p>
      <w:r>
        <w:t>VD Tribunal cantonal, 2015-05-07, FR</w:t>
      </w:r>
    </w:p>
    <w:p>
      <w:r>
        <w:rPr>
          <w:b/>
        </w:rPr>
        <w:t xml:space="preserve">Quelle: </w:t>
      </w:r>
      <w:r>
        <w:t>https://mcp.opencaselaw.ch/entscheid/vd_findinfo_HC___2015___500</w:t>
      </w:r>
    </w:p>
    <w:p>
      <w:r>
        <w:t>FR: VD_FINDINFO HC / 2015 / 500 du 7 mai 2015</w:t>
      </w:r>
    </w:p>
    <w:p>
      <w:r>
        <w:t>IT: VD_FINDINFO HC / 2015 / 500 del 7 maggio 2015</w:t>
      </w:r>
    </w:p>
    <w:p>
      <w:pPr>
        <w:pStyle w:val="Heading2"/>
      </w:pPr>
      <w:r>
        <w:t>Regeste</w:t>
      </w:r>
    </w:p>
    <w:p>
      <w:r>
        <w:t>CESSION DE CRÉANCE{CO}, PRINCIPE DE LA CONFIANCE{INTERPRÉTATION DU CONTRAT}, VOLONTÉ RÉELLE, CONTRAT D'ASSURANCE | 164 CO, 18 CO, 313 CPC (CH)</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devant l'autorité précédente est d'au moins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La partie adverse peut former un appel joint dans sa réponse, qui doit être déposée dans un délai de trente jours (art. 312 al. 2 et 313 al. 1 CPC). b) En l’espèce, formé en temps utile, par une partie qui y a un intérêt digne de protection (art. 59 al. 2 let. a CPC), dans une cause patrimoniale dont la valeur litigieuse est d'au moins à 10'000 fr., l'appel est recevable. Il en va de même de l'appel joint formé par l'intimée dans le délai imparti pour le dépôt de sa réponse.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Jeandin, op. cit., n. 6 ad art. 310 CPC). Cela étant, dès lors que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 2a).</w:t>
      </w:r>
    </w:p>
    <w:p>
      <w:r>
        <w:rPr>
          <w:b/>
        </w:rPr>
        <w:t>E. 3</w:t>
      </w:r>
    </w:p>
    <w:p>
      <w:r>
        <w:t>a) Les parties ne s'accordent pas sur la portée de la "Loss Payee Transfer Authorization" (autorisation de transfert de bénéficiaire). L'appelante soutient qu'il n’y a pas eu cession de créance et que l’intimée n’est titulaire d’aucun droit à son égard, du fait que le contrat d'assurance des 27 mars et 4 avril 2008 soumet le transfert de la créance à son accord écrit et que la "Loss Payee Transfer Authorization" se contenterait d'autoriser l’intimée à recevoir un paiement, mais pas à le réclamer. De son côté, l'intimée soutient qu’elle est bel et bien au bénéfice d’une cession de créance au sens de l’art. 164 al. 1 CO et donc habilitée à réclamer à l’appelante le paiement de cette créance. Les parties divergeant sur l'étendue du transfert des droits autorisé par ledit avenant, il convient, à l'instar des premiers juges, d'examiner, faute de volonté établie, comment l'intimée pouvait et devait comprendre les dispositions de ce document émanant de l'appelante, selon le principe de la confiance, ce, après avoir examiné les conditions de la cession de créance. b) aa) 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n. 1 ad art. 165 CO). L'acte de cession doit porter sur une créance, soit sur un droit subjectif du titulaire (le créancier) à une prestation du débiteur (ATF 131 III 217 c. 3; Probst, Commentaire romand, n. 16 ad art. 164 CO), ce droit étant transféré dans le patrimoine du tiers (ATF 130 III 417 c. 3.4 et les réf. cit., JT 2004 I 268). La validité de la cession nécessite que la créance cédée soit déterminée, ou, du moins, déterminable quant au contenu, quant au fondement juridique, quant aux personnes directement concernées et quant aux modalités (éventuels terme ou condition) (ATF 131 III 217 c. 3;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 4c, JT 1997 I 206; Probst, op. cit., n. 5 ad art. 165 CO; Engel, Traité des obligations en droit suisse, p. 881). Il est communément admis, en s'inspirant de l'art. 13 al. 1 CO, que seul le cédant doit signer sa manifestation de volonté adressée au cessionnaire, lequel peut accepter sans aucune exigence de forme (TF 4C_39/2002 du 30 mai 2002 c. 2b et les réf. cit.). Si le cédant n'a pas manifesté sa volonté par écrit, la cession est nulle (art. 11 al. 2 CO; Spirig, op. cit., n. 15 ad art. 165 CO; Engel, op. cit., p. 882). La cession de créance constituant un acte de disposition, elle repose nécessairement sur un rapport de base, l'acte générateur d'obligation, qui est susceptible de se révéler invalide. La question de savoir si la cession est de nature abstraite ou causale est controversée. Pour certains, la cession serait abstraite, en ce sens qu'elle est valable sans égard à la validité de la cause sur laquelle elle repose; pour d'autres, la cession est causale, en ce sens que sa validité dépend de celle de la cause sur laquelle elle repose. En l'état, la jurisprudence et la doctrine dominantes se rallient à la nature abstraite de la cession de créance (Girsberger, Basler Kommentar, nn. 23 ss ad art. 164 CO; Probst, op. cit., n. 6 ad art. 164 CO et les arrêts cités; Engel, op. cit., pp. 874 et 885 s.). bb)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c) Les premiers juges ont relevé que les parties s'accordaient pour dire que la "Loss Payee Transfer Authorization" autorisait le transfert de droits, mais qu'elles divergeaient sur l'étendue de ces derniers et que, dès lors, les déclarations et les comportements des parties devaient être interprétées selon le principe de la confiance. A ce titre, ils ont indiqué que l'autorisation de céder était donnée à l'art. 1 de ce document, lequel mentionne que "l'Assureur autorise l'Assuré à céder son Eventuel droit (...)". Cet "Eventuel droit" est défini dans le préambule de l'avenant dont le contenu a été rappelé par les premiers juges. Au premier paragraphe, il est indiqué que X.________, en qualité d'assurée, a conclu un contrat d'assurance, police n° [...], auprès de Q.________. Le second paragraphe précise que "conformément à ladite Police, l'Assuré est habilité à céder son/ses éventuels et futurs droit(s) d'indemnisation avec l'accord de l'Assureur (ci-après : "l'Eventuel droit")". Selon le troisième paragraphe, "(...) l'Assuré a obtenu un financement de sa banque, afin de procéder à l'exécution du contrat". Le quatrième paragraphe a la teneur suivante : "en retour, l'Assuré prévoit de céder ses prétentions au Bénéficiaire (réd : W.________), à l'exception de tout autre droit de la Police". Enfin, le cinquième et dernier paragraphe explique que l'avenant a pour but d'organiser "les conditions de paiement d'une éventuelle indemnité ou d'un éventuel acompte versé par l'Assureur au Bénéficiaire". Les premiers juges ont ainsi considéré que le fait que le texte se réfère expressément à la faculté prévue par le contrat de céder le droit à l’indemnisation excluait que cet avenant n’ait eu pour objet que de déterminer le lieu d’exécution, respectivement la personne à laquelle le paiement devait être effectué. En d’autres termes, dès lors que l’éventualité d’une cession avait été prévue par le contrat et que celle-ci avait été soumise à un accord écrit de l’appelante, l’accord écrit contenu dans l'avenant, puisque celui-ci se référait à la cession envisagée par le contrat, ne pouvait concerner que cette cession et non pas seulement des modalités de paiement. Ils ont également suivi l’argument de W.________ selon lequel, dès lors qu’elle accordait un prêt à X.________ et que Q.________ le savait, celle-ci devait en inférer que la cession avait lieu aux fins de garantie et non pas seulement de désignation d’un lieu de paiement. d) En l'espèce, selon le contrat de financement de l'exportation des 21 et 22 avril 2008 conclu entre X.________ et W.________, en garantie du crédit accordé par cette dernière, X.________ lui cédait sa créance découlant du contrat de livraison conclu avec H.________, incluant tous les droits préférentiels et accessoires, notamment les droits découlant de "l’accord de principe" de Q.________. Il était précisé que Q.________ devait approuver la cession à l’aide de l'avenant. Cette autorisation, signée les 4 et 21 avril 2008 par X.________ et W.________ a été rédigée par les services compétents de Q.________ et a été contresigné par cette dernière quelques jours plus tard. Il en résulte qu’il ne s’agissait pas d’obtenir après coup une garantie qui n’existait pas. Les éléments de l’opération étaient interdépendants : W.________ accordait le crédit, mais entendait être garantie par la cession des droits découlant du contrat d'assurance entre X.________ et Q.________. Le contrat prévoit clairement une cession de l’éventuelle créance de X.________ envers Q.________. Cela étant, comme mentionné précédemment, il s’agit d’interpréter selon le principe de la bonne foi les dispositions contractuelles du contrat d’assurance entre X.________ et Q.________ relatives à la cession. L’art. 7 let. D, sous le titre “Cession”, prévoit que le droit à indemnisation au titre de la présente police d’assurance peut être cédé à un tiers sous réserve de l’autorisation écrite de la compagnie. Selon l’al. 2, une telle cession ne saurait exonérer l’assuré de ses obligations et le cessionnaire est lié par les obligations et conditions des conditions générales de la même manière que l’assuré. Toutes exceptions, compensations, sanctions ou déchéances applicables par la compagnie à l’assuré s’appliqueront également au cessionnaire. Le préambule de l’autorisation de transfert de bénéficiaire rappelle le contexte susévoqué, soit que X.________ et Q.________ ont conclu un contrat d’assurance et que, conformément à ladite police, X.________ est habilité à céder son éventuel futur droit d’indemnisation avec l’accord préalable de Q.________, que X.________ a obtenu un financement et qu’en retour X.________ prévoit de céder ses prétentions à W.________, à l’exception de tout autre droit découlant de la police. Ce contexte, notamment la cession envisagée des prétentions à W.________, était connu de Q.________ et avait été dûment intégré dans le préambule. Q.________ connaissait ainsi la nature de l’intervention de W.________. Comme les premiers juges l’ont considéré de manière pertinente, Q.________ ne pouvait ignorer que la cession autorisée servirait de garantie au financement apporté, ce que permettait une cession de créance telle que prévue par le contrat de financement de l'exportation, mais pas une convention sur le lieu de paiement. L’art. 1 al. 1 de l’avenant autorisant l’assuré à céder son éventuel droit ne peut dès lors se comprendre de bonne foi que comme l’autorisation à la cession de créance — dont la possibilité était établie par l’art. 7 let. D du contrat d’assurance — prévue par le contrat de financement de l'exportation. Si l’appelante n’avait voulu donner qu’un accord restreint au transfert dont il était question dans le contrat de financement de l'exportation, elle aurait dû l’exprimer clairement, d’autant qu’elle était rédactrice des clauses litigieuses. Une conclusion contraire ne saurait résulter du seul art. 2 al. 2 de l’avenant, selon lequel "L'Assuré demeure la partie contractuelle chargée de la déclaration du sinistre et de la demande d'indemnisation, le cas échéant". On peut en effet lier cette clause à l’art. 7 let. D al. 2 du contrat d’assurance, selon laquelle la cession du droit à l’indemnisation n’exonère pas l’assuré de ses obligations. Comme l’ont exprimé les premiers juges, le débiteur cédé pouvait choisir de rester en contact avec le seul cédant après la cession — le cédant étant le mieux à même d’informer le débiteur cédé de l’évolution de la relation contractuelle avec H.________ — sans affecter la validité et la portée de cette cession.</w:t>
      </w:r>
    </w:p>
    <w:p>
      <w:r>
        <w:rPr>
          <w:b/>
        </w:rPr>
        <w:t>E. 4</w:t>
      </w:r>
    </w:p>
    <w:p>
      <w:r>
        <w:t>a) L’appelante se prévaut subsidiairement de l’art. 1 al. 2 de l’avenant, selon lequel en aucun cas l’assureur ne sera contraint de procéder à un paiement au bénéficiaire en vertu de la police avant la notification à l’assureur du transfert entre l’assuré et le bénéficiaire et soutient que la cession ne lui a jamais été notifiée. Peu importe selon elle qu'elle se soit plainte par courriel du 26 juin 2009, puis par lettre du 5 août 2009 de ce que W.________ aurait violé une règle de confidentialité, puisqu'il y aurait pas à déduire qu'elle la tenait alors pour cessionnaire, dès lors qu'elle était tenu par une obligation de confidentialité par sa seule signature de l'avenant, indépendamment de la cession à intervenir qu'elle prévoyait. L'intimée allègue de son côté que cette thèse se heurte au fait qu'elle lui a adressé copie des lettres des 16 mars et 24 avril 2009 envoyées à l'acheteuse, dans lesquelles elle se plaignait de sa défaillance et ajoute que de telles interventions n'auraient pu s'expliquer que par le fait qu'elle était devenue cessionnaire du droit à l'indemnité d'assurance. b) L'art. 167 CO dispose que le débiteur est valablement libéré si, avant que la cession ait été portée à sa connaissance par le cédant ou le cessionnaire, il paie de bonne foi entre les mains du précédent créancier. c) Les premiers juges ont considéré que Q.________ devait se voir opposer la cession des créances litigieuses et que W.________ disposait ainsi de la légitimation active au motif que Q.________ avait bien été informée de la cession. Ils ont notamment retenu que Q.________ s'était plainte, dans son courriel du 26 juin 2009, puis dans son courrier du 5 août 2009 adressé à X.________, d'une violation de ses devoirs contractuels par W.________. Ces devoirs étant liés, selon ce qui précède, à la qualité de cessionnaire de cette dernière, Q.________ avait ce faisant admis qu'elle connaissait l'existence de la cession de créance, à défaut de quoi son reproche aurait été sans substance. De surcroît, ils ont retenu que Q.________ avait par ailleurs notamment reçu copie, par l'intermédiaire de son précédent conseil, de la demande du 23 décembre 2010 et de ses annexes, notamment une copie des contrats de financement des 21 et 22 avril 2008. d) En l'espèce, le but de la clause de l'art. 1 al. 2 de l'avenant, qui ne prévoit pas d’autre effet que l’art. 167 al. 1 CO, est de libérer le débiteur cédé de son obligation lorsqu’il ne s’est pas exécuté en mains de l’ayant droit (du cessionnaire), mais en mains du cédant (Probst, Commentaire romand, n. 15 ad art. 167 CO). Une telle question ne se pose pas en l’espèce. Au demeurant, l’appelante ne saurait prétendre de bonne foi ne pas avoir été informée de la cession pour les motifs évoqués par les premiers juges, auxquels on peut se référer. A cela s’ajoute que la seule ouverture d’action, par laquelle l’intimée se prévalait de sa qualité de cessionnaire, valait notification de la cession. Il en va de même de la production en cours de procédure de la cession de créance signée par surabondance le 4 avril 2012 par X.________. La légitimation active de l'intimée doit dès lors être confirmée.</w:t>
      </w:r>
    </w:p>
    <w:p>
      <w:r>
        <w:rPr>
          <w:b/>
        </w:rPr>
        <w:t>E. 5</w:t>
      </w:r>
    </w:p>
    <w:p>
      <w:r>
        <w:t>a) L’appelante invoque encore l’art. 4 de l’avenant, par lequel W.________ s’est engagée à ne révéler à quiconque l’existence de la police, sous peine de déchéance. Dès lors que, par lettres des 16 mars et 24 avril 2009, W.________ aurait révélé à l’acheteuse que Q.________ était impliquée, cette disposition trouverait, selon elle, application nonobstant le fait que, comme indiqué à l’art. 2 du contrat d’assurance, l’acheteuse savait d’ores et déjà qu’une police d’assurance-crédit avait été conclue. b) Les premiers juges ont considéré que l’art. 2 du contrat d'assurance, où il est mentionné que "le nom de l’Assureur reste et restera confidentiel", était dépourvu de sanction, étant donné que le contrat n’en prévoyait pas et qu’il n’était pas établi que la personne de l’assureur aurait eu de l’importance. c) L’art. 6 let. A ch. 1 du contrat d'assurance prévoit la déchéance de la couverture en cas de révélation de "l’existence de la présente Police" sans l’accord préalable de l’Assureur. Les dispositions spéciales du contrat d'assurance, qui prévalent sur toute autre disposition, relèvent que le débiteur est conscient de l’existence d’une police d’assurance-crédit. Il n’est donc plus question de révélation au sens de l’art. 6 let. A ch. 1 des conditions générales et donc de déchéance. Rien ne justifie d’appliquer cette sanction de déchéance en cas de révélation d’identité de l’assureur, le contrat d'assurance étant muet sur ce point. On ne saurait ainsi dire que les premiers juges ont fait abstraction de l’art. 4 de l’avenant, qui impos[ait] une obligation de confidentialité directement à W.________ et prévoy[ait] expressément la sanction de la déchéance du droit.</w:t>
      </w:r>
    </w:p>
    <w:p>
      <w:r>
        <w:rPr>
          <w:b/>
        </w:rPr>
        <w:t>E. 6</w:t>
      </w:r>
    </w:p>
    <w:p>
      <w:r>
        <w:t>a) L’appelante soutient enfin qu’il incombait à W.________ de prouver que, pour chaque retard de l’acheteuse dans ses paiements, elle avait respecté le délai de trente jours prévu à l’art. 6 du contrat d'assurance pour signaler à l’assureur "l’évènement susceptible de provoquer un sinistre". Elle invoque ainsi la prétendue déchéance de la couverture d'assurance liées aux échéances déclarées tardives ou omises par X.________. L'intimée soutient de son côté que l’appelante supportait le fardeau de la preuve que ce délai n’avait pas été respecté. b) Le fardeau de la preuve qu'un avis de sinistre n’a pas été donné à temps incombe à l’assureur (Nef, in Kommentar zum schweizerischen Privatrecht, n. 16 ad art. 38 LCA [loi fédérale sur le contrat d'assurance du 2 avril 1908, RS 221.229.1]). c) Les premiers juges ont considéré que Q.________ avait omis d'alléguer le fait que X.________ n'aurait pas effectué les avis nécessaires et qu'elle ne pouvait se prévaloir des différents courriers produits par W.________ en lien avec ces avis, notamment ceux des 31 octobre 2008, 22 janvier,</w:t>
      </w:r>
    </w:p>
    <w:p>
      <w:r>
        <w:rPr>
          <w:b/>
        </w:rPr>
        <w:t>E. 9</w:t>
      </w:r>
    </w:p>
    <w:p>
      <w:r>
        <w:t>février, 23 septembre et 21 octobre 2009, 27 janvier, 26 avril et 3 août 2010, pour tenter d'en démontrer la tardiveté, étant donné qu'il lui appartenait pour ce faire d'alléguer et de prouver – le cas échéant avec l'aide de W.________ – qu'elle n'avait pas été informée de la situation antérieurement en temps utile. d) En l’espèce, l’art. 11 du contrat d'assurance prévoit l’application du droit suisse et les parties sont en outre convenues de l’application de ce droit. Selon l’art. 38 al. 1 LCA, l’ayant droit doit donner un avis de sinistre à l’assureur. Il a été convenu à l'art. 6 du contrat que cet avis devait être donné dans les trente jours. Selon l’art. 38 al. 2 LCA, si l’ayant droit contrevient à cette obligation, l’assureur a le droit de réduire l’indemnité. Il a été convenu que le défaut d’avis entraînerait la déchéance du droit. Or, comme l'ont relevé les premiers juges, l’appelante, à qui il incombait le fardeau de la preuve, n’a rien allégué à ce sujet. Elle ne peut donc pas tirer argument d’un prétendu retard de l’intimée. 7. a) Dans son appel joint, l'appelante par voie de jonction réclame la perte de change qu’elle aurait subie du fait que, l'appelante ne s’étant pas acquittée immédiatement de l’indemnité d’assurance, une dévaluation de l’euro, qui est la monnaie contractuelle, serait intervenue entre-temps par rapport au franc suisse. Elle soutient que cette prétention ne relèverait pas des prestations d’assurance, pour lesquelles l’art. 3 ch. 5 du contrat d'assurance exclut le risque de change, mais de la réparation d’un dommage résultant d’un acte illicite. b) L'art. 106 CO dispose que l orsque le dommage éprouvé par le créancier est supérieur à l'intérêt moratoire, le débiteur est tenu de réparer également ce dommage, s'il ne prouve qu'aucune faute ne lui est imputable (al. 1). Si ce dommage supplémentaire peut être évalué à l'avance, le juge a la faculté d'en déterminer le montant en prononçant sur le fond (al. 2). c) En l'espèce, la prétention en dommage supplémentaire ne peut se fonder sur une base contractuelle puisque précisément le contrat d'assurance exclut expressément la couverture des fluctuations de change. L'appelante par voie de jonction ne peut ainsi se prévaloir de l'art. 106 CO. Contrairement à l'ATF 4A_47/2013 du 4 juin 2013, dont elle se prévaut, qui concerne un cas où l'employé avait justement commis un acte illicite, l'appelante par voie de jonction ne peut fonder sa prétention sur un acte délictuel de l'appelante qui n'est pas établi, ni ainsi invoquer dans ce cadre la présomption de conversion en francs suisses. 8. En définitive, l’appel principal doit être rejeté. Il en va de même pour l’appel joint, lequel peut être rejeté selon le mode procédural de l'art. 312 al. 1 CPC. Les frais judiciaires liés à la procédure d’appel, arrêtés à 25'982 fr., sont mis à la charge de l'appelante qui succombe entièrement (art. 62 al. 1 TFJC [tarif des frais judiciaires en matière civile du 28 septembre 2010, RSV 270.11.5]). Quant à ceux de l'appel joint, arrêtés à 4'729 fr., ils sont mis à la charge de l'appelante par voie de jonction. L'appelante, laquelle succombe entièrement, versera en outre à l'appelante par voie de jonction, le montant de 15'000 fr. à titre de dépens de deuxième instance, ce compte tenu de la complexité de la cause et du temps consacré par son conseil (art. 3 al. 2 et 7 TDC [tarif des dépens en matière civile du 23 novembre 2010, RSV 270.11.6]). En revanche, l'appelante principale n’ayant pas été invitée à se déterminer sur l’appel joint, il n’y a pas lieu de lui allouer de dépens de deuxième instance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