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499 vom 2. Juni 2015</w:t>
      </w:r>
    </w:p>
    <w:p>
      <w:r>
        <w:t>VD Tribunal cantonal, 2015-06-02, FR</w:t>
      </w:r>
    </w:p>
    <w:p>
      <w:r>
        <w:rPr>
          <w:b/>
        </w:rPr>
        <w:t xml:space="preserve">Quelle: </w:t>
      </w:r>
      <w:r>
        <w:t>https://mcp.opencaselaw.ch/entscheid/vd_findinfo_HC___2015___499</w:t>
      </w:r>
    </w:p>
    <w:p>
      <w:r>
        <w:t>FR: VD_FINDINFO HC / 2015 / 499 du 2 juin 2015</w:t>
      </w:r>
    </w:p>
    <w:p>
      <w:r>
        <w:t>IT: VD_FINDINFO HC / 2015 / 499 del 2 giugno 2015</w:t>
      </w:r>
    </w:p>
    <w:p>
      <w:pPr>
        <w:pStyle w:val="Heading2"/>
      </w:pPr>
      <w:r>
        <w:t>Regeste</w:t>
      </w:r>
    </w:p>
    <w:p>
      <w:r>
        <w:t>AVOCAT D'OFFICE, DROIT D'ÊTRE ENTENDU, MOTIVATION DE LA DÉCISION, INDEMNITÉ{EN GÉNÉRAL} | 29 al. 2 Cst., 29 Cst., 110 CPC (CH)</w:t>
      </w:r>
    </w:p>
    <w:p>
      <w:pPr>
        <w:pStyle w:val="Heading2"/>
      </w:pPr>
      <w:r>
        <w:t>Erwägungen</w:t>
      </w:r>
    </w:p>
    <w:p>
      <w:r>
        <w:rPr>
          <w:b/>
        </w:rPr>
        <w:t>E. 1</w:t>
      </w:r>
    </w:p>
    <w:p>
      <w:r>
        <w:t>a) La rémunération du conseil juridique commis d'office est réglée par l'art. 122 CPC (Code de procédure civile suisse du 19 décembre 2008, RS 272),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Cette disposition ouvre la voie du recours séparé de l’art. 319 let. b ch. 1 CPC contre les décisions fixant l’indemnité du conseil d’office, cette indemnité étant considérée comme des frais au sens de l’art. 95 CPC (CREC 13 février 2013/52; Tappy, op. cit., n. 21 ad art. 122 CPC). Dans la mesure où sa propre situation est affectée, le conseil juridique dispose à titre personnel d’un droit de recours au sujet de la rémunération équitable accordée (ATF 131 V 153 c. 1; Tappy, op. cit., n. 22 ad art. 122 CPC). b) En cas de recours stricto sensu séparé sur le seul sort des frais réglé dans une décision finale, incidente ou provisionnelle, le délai de recours est en principe de 30 jours (art. 321 al. 1 CPC).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b) Les conclusions, les allégations de faits et les preuves nouvelles sont irrecevables (art. 326 al. 1 CPC). En l'espèce, les pièces 1 à 3, qui sont des pièces dites de forme, sont recevables. Il en va de même de la pièce 4, qui figurait déjà au dossier de première instance.</w:t>
      </w:r>
    </w:p>
    <w:p>
      <w:r>
        <w:rPr>
          <w:b/>
        </w:rPr>
        <w:t>E. 3</w:t>
      </w:r>
    </w:p>
    <w:p>
      <w:r>
        <w:t>a) Le recourant se plaint de ce que les premiers juges ont arrêté son indemnité ex aequo et bono . Il soutient qu'ils n'ont pas examiné sa liste des opérations et en veut pour preuve la motivation retenue à cet égard, qui compare le montant de sa propre indemnité d'office avec celui de l'indemnité d'office du conseil adverse. Selon le recourant, cette appréciation et ce calcul sont inexacts. Il fait également valoir que le nombre total d'heures consacrées à l'exercice de son mandat n'a pas été remis en cause par les premiers juges, ce qui démontre qu'ils ne contestent pas les opérations qu'il a effectuées. Dès lors que ces opérations n'ont pas été jugées excessives par les premiers magistrats, l'indemnité réclamée n'est pas abusive et ne doit pas être réduite. b) ba)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683-684). Pour fixer la quotité de l’indemnité du conseil d’office, l’autorité cantonale doit s’inspirer des critères applicables à la modération des honoraires d’avocat (Donzallaz, Loi sur le Tribunal fédéral, Commentaire, Berne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bb)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ATF 126 I 97 c. 2b).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 2.2; TF 5A_39/2014 du 12 mai 2014 c. 4.2). Ce vice découlant de la violation du droit d’être entendu ne peut être réparé devant la Chambre des recours civile, dès lors qu’elle ne dispose pas du même pouvoir de cognition que le premier juge et qu’elle ne peut revoir les faits que sous l’angle de l’arbitraire (cf. art. 320 let. b CPC; CREC 10 décembre 2014/435 c. 3b). c) En l’espèce, les premiers juges, après avoir constaté que l'avocat M.________ avait invoqué pour une période de quelque quatre années soixante-quatre heures et quinze minutes de travail entraînant une indemnité de 11'565 fr. et des débours d'un montant global de 1'615 fr., ont considéré qu'il ne se justifiait pas de lui octroyer une "indemnité totale (…) représentant 150 % de celle octroyée au conseil de la partie adverse". Ils ont ainsi arrêté l'indemnité litigieuse, " ex aequo et bono ", à 7'000 francs. Ce défaut de motivation constitue manifestement une violation du droit d'être entendu du recourant : en effet, si les premiers juges considéraient que le volume de travail invoqué par le recourant ne pouvait pas être pris en compte, ils auraient dû motiver leur position en indiquant soit en quoi le temps invoqué ne correspondait pas à la réalité, soit en quoi il était excessif, de façon à permettre au recourant d'apprécier le bien-fondé de la décision le concernant. Les premiers juges ne pouvaient se borner à effectuer une comparaison avec l'indemnité allouée au conseil de la partie adverse, celui-ci n'ayant pas eu à effectuer la même activité, ni à se référer à l'équité alors que le recourant leur avait présenté une liste détaillée d'opérations. Cette violation du droit d’être entendu du recourant ne peut être réparée devant l’autorité de recours, en raison de son pouvoir de cognition restreint. Au surplus, le recourant doit pouvoir bénéficier de la double instance et les premiers juges sont les mieux placés pour apprécier le temps nécessaire à l’accomplissement du mandat d’office.</w:t>
      </w:r>
    </w:p>
    <w:p>
      <w:r>
        <w:rPr>
          <w:b/>
        </w:rPr>
        <w:t>E. 4</w:t>
      </w:r>
    </w:p>
    <w:p>
      <w:r>
        <w:t>juin 2015 Le dispositif de l'arrêt qui précède est communiqué par écrit aux intéressés. La greffière : Du L'arrêt qui précède, dont la rédaction a été approuvée à huis clos, est notifié en expédition complète, par l'envoi de photocopies, à : ‑ Me M.________, ‑ M. A.S.________.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