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493 vom 8. Juni 2015</w:t>
      </w:r>
    </w:p>
    <w:p>
      <w:r>
        <w:t>VD Tribunal cantonal, 2015-06-08, FR</w:t>
      </w:r>
    </w:p>
    <w:p>
      <w:r>
        <w:rPr>
          <w:b/>
        </w:rPr>
        <w:t xml:space="preserve">Quelle: </w:t>
      </w:r>
      <w:r>
        <w:t>https://mcp.opencaselaw.ch/entscheid/vd_findinfo_HC___2015___493</w:t>
      </w:r>
    </w:p>
    <w:p>
      <w:r>
        <w:t>FR: VD_FINDINFO HC / 2015 / 493 du 8 juin 2015</w:t>
      </w:r>
    </w:p>
    <w:p>
      <w:r>
        <w:t>IT: VD_FINDINFO HC / 2015 / 493 del 8 giugno 2015</w:t>
      </w:r>
    </w:p>
    <w:p>
      <w:pPr>
        <w:pStyle w:val="Heading2"/>
      </w:pPr>
      <w:r>
        <w:t>Regeste</w:t>
      </w:r>
    </w:p>
    <w:p>
      <w:r>
        <w:t>MESURE PROVISIONNELLE, DIVORCE, PRINCIPE DE LA CONFIANCE{INTERPRÉTATION DU CONTRAT}, BONUS, OBLIGATION D'ENTRETIEN | 18 al. 1 CO, 18 CO</w:t>
      </w:r>
    </w:p>
    <w:p>
      <w:pPr>
        <w:pStyle w:val="Heading2"/>
      </w:pPr>
      <w:r>
        <w:t>Erwägungen</w:t>
      </w:r>
    </w:p>
    <w:p>
      <w:r>
        <w:rPr>
          <w:b/>
        </w:rPr>
        <w:t>E. 1</w:t>
      </w:r>
    </w:p>
    <w:p>
      <w:r>
        <w:t>a) L'art. 308 al. 1 let. b et al. 2 CPC (Code de procédure civile du 19 décembre 2008; RS 272) ouvre la voie de l'appel contre les ordonnances de mesures provisionnelles rendues dans les causes patrimoniales dont la valeur litigieuse au dernier état des conclusions devant l’autorité inférieure s’élève à 10'000 fr. au moins. Les ordonnances de mesures provisionnelles étant régies par la procédure sommaire (art. 248 CPC), le délai pour l’introduction de l’appel est de dix jours (art. 314 al. 1 CPC). Un membre de la Cour d’appel civile statue comme juge unique sur les appels formés contre les décisions sur mesures provisionnelles (art. 84 al. 2 LOJV [Loi d’organisation judiciaire du 12 décembre 1979, RSV 173.01]). b) Formé en temps utile par une partie qui y a intérêt et portant sur des conclusions patrimoniales qui sont supérieures à 10'000 fr. (au moins 60% de 20'541 fr. 05, soit 12'324 fr. 65),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Le large pouvoir d'examen en fait et en droit ainsi défini s'applique même si la décision attaquée est de nature provisionnelle (JT 2011 III 43 c. 2).</w:t>
      </w:r>
    </w:p>
    <w:p>
      <w:r>
        <w:rPr>
          <w:b/>
        </w:rPr>
        <w:t>E. 3</w:t>
      </w:r>
    </w:p>
    <w:p>
      <w:r>
        <w:t>L’appelant conteste l’interprétation, par le premier juge, des conventions des 12 juin 2009, 16 août 2010 et 7 mars 2014. Il soutient à cet égard que c’est à tort que celui-ci a retenu que la volonté des parties lors de la conclusion de la convention était que le partage du bonus devait intervenir toutes les années. a) Selon l'art. 18 al. 1 CO (Code des obligations du 30 mars 1911 ; RS 220),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si elle aboutit, cette démarche conduit à une constatation de fait (art. 105 al. 1 LTF; ATF 132 III 268 c. 2.3.2; 129 III 664 c. 3.1). S'il ne parvient pas à déterminer cette volonté, ou s'il constate qu'une partie n'a pas compris la volonté manifestée par l'autre, le juge doit découvrir quel sens les parties pouvaient ou devaient donner, de bonne foi, à leurs manifestations de volonté réciproques (principe de la confiance); il s'agit d'une question de droit (ATF 132 III 268 c. 2.3.2; 129 III 702 c. 2.4). Cette interprétation objective s'effectue non seulement d'après le texte et le contexte des déclarations, mais également sur le vu des circonstances qui les ont précédées et accompagnées, à l'exclusion des événements postérieurs (ATF 135 III 295 c. 5.2; 132 III 626 c.</w:t>
      </w:r>
    </w:p>
    <w:p>
      <w:r>
        <w:rPr>
          <w:b/>
        </w:rPr>
        <w:t>E. 3.1</w:t>
      </w:r>
    </w:p>
    <w:p>
      <w:r>
        <w:t>in fine; TF 4A_219/2012 du 30 juillet 2012 c. 2.5). En effet, le comportement ultérieur des parties n’a pas d’importance dans l’interprétation objective du contrat, le moment déterminant étant celui de la conclusion du contrat (ATF 132 III 626 c. 3.1, JT 2007 I 423).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(cf. ATF 136 III 186 c. 3.2.1 ; 135 III 295 c. 5.2 ; 133 III 61 c. 2.2.1, 675 c. 3.3 ). b) En l’espèce, la séparation des parties a été réglée par plusieurs conventions depuis l’année 2009. En 2009, il a été prévu que le bonus serait partagé à hauteur de 60% en faveur de T.________ et les enfants et à hauteur de 40% en faveur de Q.________. Le bonus des années 2010 et 2013 a également été partagé à la suite de conventions conclues entre les parties. Aucune des conventions ne posent en termes généraux le principe du partage du bonus pour les années à venir. En dépit de cela, l’appelant a toutefois toujours accepté de partager le bonus, qu’il soit exprimé en pourcentage ou en chiffre. On voit ainsi que la réelle et commune intention des parties a toujours été de partager les bonus touchés par l’époux. Il s’ensuit que l’appréciation du premier juge ne prête pas le flanc à la critique lorsque celui-ci retient qu’il serait contraire aux conventions passées jusque-là de considérer que le partage du bonus ne devait intervenir qu’une seule fois. Au demeurant, le revenu net effectif comprend non seulement la part fixe du salaire, mais également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FamPra.ch 2011 p. 483). Le partage du bonus, comme élément d’un salaire, n’a donc rien d’insolite. Le grief est infondé et doit ainsi être rejeté.</w:t>
      </w:r>
    </w:p>
    <w:p>
      <w:r>
        <w:rPr>
          <w:b/>
        </w:rPr>
        <w:t>E. 4</w:t>
      </w:r>
    </w:p>
    <w:p>
      <w:r>
        <w:t>L’appelant semble faire valoir que le partage du bonus entamerait son minimum vital. Pourtant, il a lui-même admis qu’aucun fait nouveau n’était intervenu dans la situation financière des parties. Il n’y a donc pas lieu de revoir la situation des parties qui a prévalu pour la fixation de la contribution d’ entretien. Ce deuxième grief, subsidiaire, doit également être rejeté.</w:t>
      </w:r>
    </w:p>
    <w:p>
      <w:r>
        <w:rPr>
          <w:b/>
        </w:rPr>
        <w:t>E. 5</w:t>
      </w:r>
    </w:p>
    <w:p>
      <w:r>
        <w:t>Compte tenu de ce qui précède, l’appel doit être rejeté dans la procédure de l'art. 312 al. 1 CPC et l'ordonnance confirmée. Les frais judiciaires de deuxième instance, arrêtés à 1’000 fr., seront mis à la charge de l'appelant qui succombe. L'intimée n'ayant pas été invitée à se déterminer, il n'y a pas lieu à l'allocation de dépens. Par ces motifs, le juge délégué de la Cour d’appel civile du Tribunal cantonal, statuant en application de l'art. 312 al. 1 CPC, prononce : I. L’appel est rejeté. II. L’ordonnance est confirmée. III. Les frais judiciaires de deuxième instance, arrêtés à 1'000 fr. (mille francs), sont mis à la charge de l’appelant. IV. L’arrêt motivé est exécutoire. Le juge délégué : La greffière : Du</w:t>
      </w:r>
    </w:p>
    <w:p>
      <w:r>
        <w:rPr>
          <w:b/>
        </w:rPr>
        <w:t>E. 10</w:t>
      </w:r>
    </w:p>
    <w:p>
      <w:r>
        <w:t>juin 2015 Le dispositif de l'arrêt qui précède est communiqué par écrit aux intéressés. La greffière : Du L'arrêt qui précède, dont la rédaction a été approuvée à huis clos, est notifié en expédition complète, par l'envoi de photocopies, à : ‑ Me Patricia Michellod (pour Q.________), ‑ Me Emmanuel Hoffmann (pour T.________).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