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2015 / 484 vom 26. Juni 2015</w:t>
      </w:r>
    </w:p>
    <w:p>
      <w:r>
        <w:t>VD Tribunal cantonal, 2015-06-26, FR</w:t>
      </w:r>
    </w:p>
    <w:p>
      <w:r>
        <w:rPr>
          <w:b/>
        </w:rPr>
        <w:t xml:space="preserve">Quelle: </w:t>
      </w:r>
      <w:r>
        <w:t>https://mcp.opencaselaw.ch/entscheid/vd_findinfo_HC___2015___484</w:t>
      </w:r>
    </w:p>
    <w:p>
      <w:r>
        <w:t>FR: VD_FINDINFO HC / 2015 / 484 du 26 juin 2015</w:t>
      </w:r>
    </w:p>
    <w:p>
      <w:r>
        <w:t>IT: VD_FINDINFO HC / 2015 / 484 del 26 giugno 2015</w:t>
      </w:r>
    </w:p>
    <w:p>
      <w:pPr>
        <w:pStyle w:val="Heading2"/>
      </w:pPr>
      <w:r>
        <w:t>Regeste</w:t>
      </w:r>
    </w:p>
    <w:p>
      <w:r>
        <w:t>PARTIE À LA PROCÉDURE, RECTIFICATION{EN GÉNÉRAL}, MAXIME INQUISITOIRE, BAIL À LOYER, LOYER USUEL, PRINCIPE DE LA BONNE FOI, AUTORISATION DE PROCÉDER | 269a let. a CO, 11 al. 1 OBLF, 11 al. 4 OBLF, 132 al. 1 CPC (CH), 202 CPC (CH), 56 CPC (CH), 59 CPC (CH)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résulte de ce qui précède que l'appel, manifestement infondé, doit être rejeté selon le mode procédural de l’art. 312 al. 1 CPC et le jugement entrepris confirmé. Les frais judiciaires de deuxième instance, arrêtés à 878 fr. (art. 62 al. 1 TFJC [tarif des frais judiciaires civils du 28 septembre 2010, RSV 270.11.5]), seront mis à la charge des appelants qui succombe (art. 106 al. 1 CPC). Il n'y a pas lieu d'allouer de dépens à l’intimé, qui n’a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