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480 vom 8. Juni 2015</w:t>
      </w:r>
    </w:p>
    <w:p>
      <w:r>
        <w:t>VD Tribunal cantonal, 2015-06-08, FR</w:t>
      </w:r>
    </w:p>
    <w:p>
      <w:r>
        <w:rPr>
          <w:b/>
        </w:rPr>
        <w:t xml:space="preserve">Quelle: </w:t>
      </w:r>
      <w:r>
        <w:t>https://mcp.opencaselaw.ch/entscheid/vd_findinfo_HC___2015___480</w:t>
      </w:r>
    </w:p>
    <w:p>
      <w:r>
        <w:t>FR: VD_FINDINFO HC / 2015 / 480 du 8 juin 2015</w:t>
      </w:r>
    </w:p>
    <w:p>
      <w:r>
        <w:t>IT: VD_FINDINFO HC / 2015 / 480 del 8 giugno 2015</w:t>
      </w:r>
    </w:p>
    <w:p>
      <w:pPr>
        <w:pStyle w:val="Heading2"/>
      </w:pPr>
      <w:r>
        <w:t>Regeste</w:t>
      </w:r>
    </w:p>
    <w:p>
      <w:r>
        <w:t>RÉSILIATION, BAIL À LOYER, ATTEINTE À LA SANTÉ, BRUIT | 266a CO, 267 al. 1 CO, 257 CPC (CH)</w:t>
      </w:r>
    </w:p>
    <w:p>
      <w:pPr>
        <w:pStyle w:val="Heading2"/>
      </w:pPr>
      <w:r>
        <w:t>Erwägungen</w:t>
      </w:r>
    </w:p>
    <w:p>
      <w:r>
        <w:rPr>
          <w:b/>
        </w:rPr>
        <w:t>E. 1</w:t>
      </w:r>
    </w:p>
    <w:p>
      <w:r>
        <w:t>La valeur litigieuse étant inférieure à 10'000 fr., seule la voie du recours au sens de l'art. 319 CPC (Code de procédure civile du 19 décembre 2008, RS 272) est ouverte (art. 308 al. 2 a contrario et 319 let. a CPC). La procédure de cas clair étant sommaire (art. 248 let. b CPC), le délai de recours est de dix jours (art. 321 al. 2 CPC). Déposé en temps utile par une partie qui y a intérêt (art. 59 al. 2 let. a CPC),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fait valoir qu'elle est sans emploi, qu'elle a des problèmes de santé, qu'elle fait l'objet de poursuites et qu'une expulsion compromettrait l'avenir de ses trois enfants qui sont en apprentissage et aux études. b) En l'espèce, le contrat de bail de la recourante a été résilié pour le 30 septembre 2014 pour cause de nuisances occasionnées par ses trois filles. La recourante se contente d'invoquer des motifs humanitaires pour contester le jugement d'expulsion. Or, ces griefs ne peuvent être invoqués qu'au stade de l'exécution forcée et en rapport avec l'art. 257d CO, soit la demeure du locataire et non au stade de l'expulsion. Au surplus, quand bien même, ils étaient admissibles, ces griefs devraient être rejetés, dès lors que la recourante, défaillante tout au long de la procédure, n'a pas établi les différents éléments qu'elle invoque à l'appui de son recours. Ainsi, les moyens de la recourante, manifestement infondés, doivent être rejetés.</w:t>
      </w:r>
    </w:p>
    <w:p>
      <w:r>
        <w:rPr>
          <w:b/>
        </w:rPr>
        <w:t>E. 4</w:t>
      </w:r>
    </w:p>
    <w:p>
      <w:r>
        <w:t>a) En conclusion, le recours doit être rejeté, en application de l’art. 322 al. 1 CPC, et le jugement confirmé. b) Les frais judiciaires de deuxième instance, arrêtés à 100 fr. (art. 69 al. 1 et 6 al. 3 TFJC [tarif des frais judiciaires civils du 28 septembre 2010, RSV 270.11.5]), sont mis à la charge de la recourante qui succombe (art. 106 al. 1 CPC). c) Il n’est pas alloué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100 fr. (cent francs), sont mis à la charge de la recourante G.________. IV. L'arrêt motivé est exécutoire. Le président :               La greffière : Du</w:t>
      </w:r>
    </w:p>
    <w:p>
      <w:r>
        <w:rPr>
          <w:b/>
        </w:rPr>
        <w:t>E. 9</w:t>
      </w:r>
    </w:p>
    <w:p>
      <w:r>
        <w:t>juin 2015 Le dispositif de l'arrêt qui précède est communiqué par écrit aux intéressés. La greffière : Du L'arrêt qui précède, dont la rédaction a été approuvée à huis clos, est notifié à : - Mme G.________ personnellement, - M. Jean-Marc Schlaeppi, agent d'affaires breveté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