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 vom 8. Januar 2015</w:t>
      </w:r>
    </w:p>
    <w:p>
      <w:r>
        <w:t>VD Tribunal cantonal, 2015-01-08, FR</w:t>
      </w:r>
    </w:p>
    <w:p>
      <w:r>
        <w:rPr>
          <w:b/>
        </w:rPr>
        <w:t xml:space="preserve">Quelle: </w:t>
      </w:r>
      <w:r>
        <w:t>https://mcp.opencaselaw.ch/entscheid/vd_findinfo_HC___2015___48</w:t>
      </w:r>
    </w:p>
    <w:p>
      <w:r>
        <w:t>FR: VD_FINDINFO HC / 2015 / 48 du 8 janvier 2015</w:t>
      </w:r>
    </w:p>
    <w:p>
      <w:r>
        <w:t>IT: VD_FINDINFO HC / 2015 / 48 del 8 gennaio 2015</w:t>
      </w:r>
    </w:p>
    <w:p>
      <w:pPr>
        <w:pStyle w:val="Heading2"/>
      </w:pPr>
      <w:r>
        <w:t>Regeste</w:t>
      </w:r>
    </w:p>
    <w:p>
      <w:r>
        <w:t>CERTIFICAT D'HÉRITIER, FRAIS JUDICIAIRES | 45 al. 1 TFJC (2010)</w:t>
      </w:r>
    </w:p>
    <w:p>
      <w:pPr>
        <w:pStyle w:val="Heading2"/>
      </w:pPr>
      <w:r>
        <w:t>Erwägungen</w:t>
      </w:r>
    </w:p>
    <w:p>
      <w:r>
        <w:rPr>
          <w:b/>
        </w:rPr>
        <w:t>E. 1</w:t>
      </w:r>
    </w:p>
    <w:p>
      <w:r>
        <w:t>Selon l’art. 319 let. b ch. 1 CPC (Code de procédure civile du 19 décembre 2008 ; RS 272), le recours est recevable dans les cas prévus par la loi. A teneur de l’art. 110 CPC, la décision sur les frais peut être attaquée séparément par un recours (art. 110 CPC). S’agissant d’une procédure relative à un décompte de frais en rapport avec la dévolution d’une succession, soit d’une procédure gracieuse, la procédure sommaire est applicable, de sorte que le délai de recours est de dix jours (art. 248 let. e et art. 321 al. 2 CPC).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La recourante conteste les frais qui ont été mis à sa charge, en particulier le poste relatif à la délivrance du certificat d’héritier à hauteur de 1'964 fr., qu’elle estime trop élevé. Elle semble soutenir que le montant de 1'964 fr. ne serait pas justifié, dès lors qu’elle a d’ores et déjà assumé divers frais pour qu’un certificat d’héritier lui soit remis par les autorités allemandes à Munich. b) Selon l’art. 45 TFJC (tarif des frais judiciaires civils du 28 septembre 2010 ; RSV 270.11.5), pour la délivrance d’un certificat d’héritier, il est dû un émolument de base de 100 fr., augmenté de 1‰ de l’actif net inventorié de la succession, mais 10'000 fr. au maximum. Si le défunt était marié, le taux est fixé à 0,5‰ (al. 1). En l’absence d’inventaire civil, l’émolument est calculé sur la base de la fortune nette imposable résultant de la dernière taxation du défunt passée en force (al. 2). c) En l’espèce, l’état de fortune nette imposable envoyé par l’Administration cantonale des impôts à la Justice de paix fait état d’un montant de 1'864'000 francs. L’émolument d’un montant de 1'964 fr. fixé par la Justice de paix correspond donc bien au taux prévu par l’art. 45 al. 1 TFJC.</w:t>
      </w:r>
    </w:p>
    <w:p>
      <w:r>
        <w:rPr>
          <w:b/>
        </w:rPr>
        <w:t>E. 4</w:t>
      </w:r>
    </w:p>
    <w:p>
      <w:r>
        <w:t>Compte tenu de ce qui précède, le recours doit être rejeté et la décision entreprise confirmée. Les frais judiciaires de deuxième instance, arrêtés à 100 fr. (art. 74 al. 1 TFJC), sont mis à la charge de la recourante.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S.________. IV. L’arrêt est exécutoire. Le président :               La greffière : Du L'arrêt qui précède, dont la rédaction a été approuvée à huis clos, est notifié en expédition complète, par l'envoi de photocopies, à : ‑ Mme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