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2015 / 477 vom 8. Juni 2015</w:t>
      </w:r>
    </w:p>
    <w:p>
      <w:r>
        <w:t>VD Tribunal cantonal, 2015-06-08, FR</w:t>
      </w:r>
    </w:p>
    <w:p>
      <w:r>
        <w:rPr>
          <w:b/>
        </w:rPr>
        <w:t xml:space="preserve">Quelle: </w:t>
      </w:r>
      <w:r>
        <w:t>https://mcp.opencaselaw.ch/entscheid/vd_findinfo_HC___2015___477</w:t>
      </w:r>
    </w:p>
    <w:p>
      <w:r>
        <w:t>FR: VD_FINDINFO HC / 2015 / 477 du 8 juin 2015</w:t>
      </w:r>
    </w:p>
    <w:p>
      <w:r>
        <w:t>IT: VD_FINDINFO HC / 2015 / 477 del 8 giugno 2015</w:t>
      </w:r>
    </w:p>
    <w:p>
      <w:pPr>
        <w:pStyle w:val="Heading2"/>
      </w:pPr>
      <w:r>
        <w:t>Regeste</w:t>
      </w:r>
    </w:p>
    <w:p>
      <w:r>
        <w:t>EXPULSION DE LOCATAIRE, DEMEURE DU DÉBITEUR, BAIL À LOYER, LOCAL PROFESSIONNEL, SOMMATION, CAS CLAIR | 257d CO, 257 CPC (CH)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l’appel doit être rejeté selon le mode procédural de l’art. 312 al. 1 CPC et l’ordonnance entreprise confirmée. Le délai de libération des locaux étant échu du fait de l’effet suspensif accordé à l’appel, il convient de renvoyer la cause au premier juge pour qu’il fixe à l’appelant un nouveau délai pour libérer les locaux. Les frais judiciaires de deuxième instance, arrêtés à 831 fr. (art. 62 al. 1 et 3 TFJC [tarif des frais judiciaires en matière civile du 28 septembre 2010, RSV 270.11.5]), seront mis à la charge de l’appelant, qui succombe (art. 106 al. 1 CPC). Il n’y a pas lieu à l’allocation de dépens de deuxième instance, l’intimée n’ayant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