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451 vom 20. Mai 2015</w:t>
      </w:r>
    </w:p>
    <w:p>
      <w:r>
        <w:t>VD Tribunal cantonal, 2015-05-20, FR</w:t>
      </w:r>
    </w:p>
    <w:p>
      <w:r>
        <w:rPr>
          <w:b/>
        </w:rPr>
        <w:t xml:space="preserve">Quelle: </w:t>
      </w:r>
      <w:r>
        <w:t>https://mcp.opencaselaw.ch/entscheid/vd_findinfo_HC___2015___451</w:t>
      </w:r>
    </w:p>
    <w:p>
      <w:r>
        <w:t>FR: VD_FINDINFO HC / 2015 / 451 du 20 mai 2015</w:t>
      </w:r>
    </w:p>
    <w:p>
      <w:r>
        <w:t>IT: VD_FINDINFO HC / 2015 / 451 del 20 maggio 2015</w:t>
      </w:r>
    </w:p>
    <w:p>
      <w:pPr>
        <w:pStyle w:val="Heading2"/>
      </w:pPr>
      <w:r>
        <w:t>Regeste</w:t>
      </w:r>
    </w:p>
    <w:p>
      <w:r>
        <w:t>DROIT DE GARDE, ENFANT, PROTECTION DE L'UNION CONJUGALE, LOGEMENT DE LA FAMILLE | 176 al. 1 ch. 2 CC, 176 al. 3 CC</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(Code de procédure civile du 19 décembre 2008 ; RS 272) (Colombini, JT 2013 III 131 n. 6a et les réf.),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non patrimoniales et patrimoniales qui, capitalisées selon l'art. 92 al. 2 CPC, s’élèvent à 10'000 fr. au moins,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w:t>
      </w:r>
    </w:p>
    <w:p>
      <w:r>
        <w:rPr>
          <w:b/>
        </w:rPr>
        <w:t>E. 3</w:t>
      </w:r>
    </w:p>
    <w:p>
      <w:r>
        <w:t>En application de l'art. 317 al. 1 er CPC, les faits et moyens de preuve nouveaux ne sont pris en compte que si deux conditions cumulatives sont réalisées: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Les conditions restrictives posées par l'art. 317 CPC pour l'introduction de faits ou moyens de preuve nouveaux s'appliquent également aux cas régis par la maxime inquisitoire. Une solution plus souple peut être envisagée lorsque la cause est en outre régie par la maxime d'office (JT 2011 III 43), ce qui est le cas en l’espèce, un des enfants du couple étant encore mineur. Les pièces produites en instance d’appel sont dès lors recevables.</w:t>
      </w:r>
    </w:p>
    <w:p>
      <w:r>
        <w:rPr>
          <w:b/>
        </w:rPr>
        <w:t>E. 4</w:t>
      </w:r>
    </w:p>
    <w:p>
      <w:r>
        <w:t>a) L’appelant soutient que c’est lui qui s’occupait davantage des enfants durant la vie commune en leur faisant à manger le soir et en les assistant dans leurs devoirs scolaires. Il affirme être très préoccupé par D.M.________ qui a cessé de se rendre à l’école à la suite de la séparation de ses parents. Dès lors que son épouse travaille souvent de nuit, a entrepris une relation extra-conjugale et s’absente fréquemment du domicile conjugal, la garde de D.M.________ doit lui être attribuée. Dans la mesure où il ne dispose d’aucun logement et que son épouse bénéficie d’un logement de fonction, la jouissance du domicile conjugal doit également lui être attribuée. L’intimée allègue que, durant la vie commune, elle s’est exclusivement consacrée au bien-être de son époux et de ses enfants. Elle gérait notamment l’éducation et la prise en charge des enfants, la maison et le ménage. Contrairement à son époux qui tente d’obtenir la garde de D.M.________, elle ne s’opposera pas au choix de D.M.________ de vivre auprès de son père, si telle est sa volonté. Toutefois, dès lors que l’aîné C.M.________ souhaite vivre avec elle et son frère et que le cadet D.M.________ souhaite vivre avec son frère et ne plus s’impliquer dans le conflit qui oppose ses parents, elle sollicite la garde de D.M.________ et, partant, la jouissance du domicile conjugal. b) Selon l’art. 176 CC (Code civil suisse du 10 décembre 1907 ; RS 210), à la requête d’un des conjoints et si la suspension de la vie commune est fondée, le juge prend les mesures en ce qui concerne le logement et le mobilier de ménage (al. 1 ch. 2). Lorsqu’il y a des enfants mineurs, le juge ordonne les mesures nécessaires, d’après les dispositions sur les effets de la filiation (al. 3). aa)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 4.1).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 ATF 117 II 353 c. 3 ; ATF 115 II 206 c. 4a ; ATF 115 II 317 c. 2 ; TF 5A_181/2008 du 25 avril 2008, FamPra.ch 4/2008 n. 104 p. 98 ; TF 5C.238/2005 du 2 novembre 2005, FamPra.ch 2006 n. 20 p. 193). bb) Lorsque les époux n’arrivent pas à s’entendre sur l’attribution du logement familial, le juge des mesures protectrices de l’union conjugale décide en fonction d’une libre appréciation de toutes les circonstances pertinentes de chaque cas d’espèce. Il convient d’adopter la réglementation qui paraît la plus appropriée à chaque situation, sans s’arrêter aux rapports contractuels ou de propriété de chaque époux sur le bien en question (ATF 114 II 18 c. 4). La présence d’enfants mineurs incitera le juge à attribuer la jouissance de ce domicile au parent à qui ils sont confiés (Chaix, op. cit., n. 13 ad art. 176 CC). c) En l’espèce, aucune des parties ne remet en cause les capacités éducatives de l’autre partie et il ne ressort par ailleurs d’aucune des pièces du dossier que dites capacités éducatives seraient défaillantes chez l’un ou l’autre des parents. Le critère de disponibilité n’est plus décisif, dès lors que les deux parents travaillent et que D.M.________, qui est maintenant âgé de plus de dix-sept ans et demi, n’a plus besoin de la présence constante de ses parents à ses côtés. De façon compréhensible, D.M.________ est bouleversé par la séparation conflictuelle de ses parents. Il apparaît donc primordial de prendre en compte ses désirs, ce d’autant qu’il sera bientôt majeur. Dans une longue lettre dactylographiée datée du 20 mars 2015, D.M.________ a déclaré qu’il refusait de vivre avec sa mère. Dans une note manuscrite du 30 mars 2015, produite en annexe de la réponse de l’intimée – qui n’a suscité aucune réaction de l’appelant –,D.M.________ a expliqué qu’il était fâché contre sa mère au moment où il avait signé la lettre du 20 mars 2015, qu’il ne souhaitait pas s’immiscer dans le conflit qui divisait ses parents et qu’il voulait rester avec son frère C.M.________ « tout simplement ». Dans une note manuscrite du 31 mars 2015, C.M.________ a déclaré qu’il était préférable que D.M.________ reste avec sa maman et qu’il avait envie de rester avec son frère pour le soutenir. Dans ces circonstances, il y a lieu de prendre en compte la dernière volonté de D.M.________, à savoir celle de vivre avec son frère aîné, lequel a déclaré vouloir vivre avec sa mère aux côtés de son frère. Le droit de garde de D.M.________ en faveur de l’intimée doit par conséquent être confirmé. D.M.________ traverse actuellement une période difficile. Il est important qu’il continue de bénéficier de la stabilité de l’environnement dans lequel il a l’habitude d’évoluer, de sorte que la jouissance du domicile conjugal en faveur de la mère doit également être confirmée. Les enfants ont clairement indiqué qu’ils souhaitaient vivre avec leur mère et l’intérêt de D.M.________ commande qu’il demeure dans son lieu de vie usuel.</w:t>
      </w:r>
    </w:p>
    <w:p>
      <w:r>
        <w:rPr>
          <w:b/>
        </w:rPr>
        <w:t>E. 5</w:t>
      </w:r>
    </w:p>
    <w:p>
      <w:r>
        <w:t>Il résulte de ce qui précède que l’appel de A.M.________ doit être rejeté et la décision entreprise confirmée. Les frais judiciaires de deuxième instance, arrêtés à 600 fr. (art. 65 al. 2 TFJC [tarif des frais judiciaires en matière civile du 28 septembre 2010 ; RSV 270.11.5]), sont mis à la charge de l’appelant, qui succombe (art. 106 al. 1 CPC). Conformément à l’art. 334 al. 1 CPC, il y a lieu de rectifier d’office le chiffre IV du dispositif rendu le 20 mai 2015 en ce sens que l'appelant doit verser à l'intimée la somme de 1’500 fr. à titre de dépens de deuxième instance (art. 7 al. 1 TDC [tarif du 23 novembre 2010 des dépens en matière civile ; RSV 270.11.6]) et d’ajouter le chiffre V en ce sens que l’arrêt motivé est exécutoire. Par ces motifs, la Juge déléguée de la Cour d’appel civile du Tribunal cantonal, prononce : I. L’appel est rejeté. II. L’ordonnance est confirmée. III. Les frais judiciaires de deuxième instance, arrêtés à 600 fr. (six cents francs), sont mis à la charge de l’appelant A.M.________. IV. L’appelant A.M.________ doit verser à l’intimée B.M.________ la somme de 1'500 fr. (mille cinq cents francs) à titre de dépens de deuxième instance. V. L’arrêt motivé est exécutoire. La juge déléguée : La greffière : Du 20 mai 2015 Le dispositif de l'arrêt qui précède est communiqué par écrit aux intéressés. La greffière : Du L'arrêt qui précède, dont la rédaction a été approuvée à huis clos, est notifié à : ‑ Me Mathilde Bessonnet (pour A.M.________) ‑ Me Cynthia Christen (pour B.M.________)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