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449 vom 4. Mai 2015</w:t>
      </w:r>
    </w:p>
    <w:p>
      <w:r>
        <w:t>VD Tribunal cantonal, 2015-05-04, FR</w:t>
      </w:r>
    </w:p>
    <w:p>
      <w:r>
        <w:rPr>
          <w:b/>
        </w:rPr>
        <w:t xml:space="preserve">Quelle: </w:t>
      </w:r>
      <w:r>
        <w:t>https://mcp.opencaselaw.ch/entscheid/vd_findinfo_HC___2015___449</w:t>
      </w:r>
    </w:p>
    <w:p>
      <w:r>
        <w:t>FR: VD_FINDINFO HC / 2015 / 449 du 4 mai 2015</w:t>
      </w:r>
    </w:p>
    <w:p>
      <w:r>
        <w:t>IT: VD_FINDINFO HC / 2015 / 449 del 4 maggio 2015</w:t>
      </w:r>
    </w:p>
    <w:p>
      <w:pPr>
        <w:pStyle w:val="Heading2"/>
      </w:pPr>
      <w:r>
        <w:t>Regeste</w:t>
      </w:r>
    </w:p>
    <w:p>
      <w:r>
        <w:t>EXÉCUTION FORCÉE, DÉPENS, ORDRE DE DÉMOLITION | 338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La Chambre des recours civile statue dans une composition à trois juges (JT 2011 III 44). La procédure sommaire étant applicable à la procédure d’exécution forcée (art. 339 al. 2 CPC), le délai de recours est de dix jours (art. 321 al. 2 CPC). Interjeté en temps utile par des personnes qui ont un intérêt digne de protection (art. 59 al. 2 let. a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 5 et 6 ad art. 320 CPC, p. 1276 ; Corboz, Commentaire de la LTF, 2 e éd., Berne 2014, n. 27 ad art. 97 LTF, p. 1117). b) La pièce produite par l’intimé (lettre du 14 avril 2015 adressée à son conseil) est irrecevable, dès lors que les allégations de fait et preuves nouvelles sont irrecevables en procédure de recours (art. 326 CPC).</w:t>
      </w:r>
    </w:p>
    <w:p>
      <w:r>
        <w:rPr>
          <w:b/>
        </w:rPr>
        <w:t>E. 3</w:t>
      </w:r>
    </w:p>
    <w:p>
      <w:r>
        <w:t>a) Les recourants font valoir une constatation manifestement inexacte des faits en ce sens que le socle en béton et le mur au fond du bâtiment à démanteler n’ont pas été démolis, sachant qu’une vigne doit être plantée au même endroit ultérieurement. C’est donc à tort que le premier juge a retenu que l’intimé avait satisfait aux obligations découlant de l’accord conclu entre les parties le 21 août 2013. b) On ne discerne en l’espèce aucune constatation manifestement inexacte des faits. Le premier juge s’est fondé sur des photographies produites en cours de procédure et sur les explications fournies par les parties pour considérer que l’intimé s’était finalement conformé aux engagements pris dans la convention du 21 août 2013. Les photographies au dossier montrent que la structure du bâtiment ECA [...] a effectivement été démantelée et s’il subsiste encore l’un ou l’autre élément du bâtiment, tel que socle en béton ou mur, tout au plus s’agirait-t-il d’une mauvaise exécution de la convention, qui échappe à la cognition du juge dans le cadre de la procédure d’exécution forcée des art. 335 ss CPC (CREC 22 décembre 2014/451). Il en va de même de la plantation des vignes, les recourants n’apportant aucun élément probant permettant de retenir qu’elle n’aurait pas été replantée au printemps 2015. Le premier juge pouvait donc considérer que la requête d’exécution forcée déposée le 23 septembre 2014 par A.W.________ et B.W.________ n’avait plus d’objet et le grief principal doit être rejeté.</w:t>
      </w:r>
    </w:p>
    <w:p>
      <w:r>
        <w:rPr>
          <w:b/>
        </w:rPr>
        <w:t>E. 4</w:t>
      </w:r>
    </w:p>
    <w:p>
      <w:r>
        <w:t>a) Les recourants soutiennent qu’ils ont été contraints d’ouvrir action en exécution forcée par requête du 23 septembre 2014, la construction n’ayant pas été démantelée au 31 août 2013, de sorte que l’entier des frais de la cause doivent être mis à la charge de l’intimé. b) Les frais sont mis à la charge de la partie succombante. La partie succombante est le demandeur lorsque le tribunal n’entre pas en matière et en cas de désistement d’action ; elle est le défendeur en cas d’acquiescement (art. 106 al. 1 CPC). Les frais comprennent les frais judiciaires et les dépens (art. 95 al. 1 CPC).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Le juge fixe les dépens selon le tarif (art. 105 al. 2 CPC), lequel prévoit que le défraiement du représentant est fixé selon le type de procédure et la valeur litigieuse de la cause (art. 3 TDC [tarif du 23 novembre 2010 des dépens en matière civile ; RSV 270.11.6]), valeur litigieuse qui est déterminée par les conclusions (art. 91 al. 1 CPC). L’art. 6 TDC fixe le tarif applicable pour l’avocat dans une cause en procédure sommaire. L’art. 107 al. 1 CPC dispose que le tribunal peut s’écarter de la règle générale attribuant les frais à la charge de la partie qui succombe au profit d’une répartition des frais selon sa libre appréciation dans certains cas énumérés aux lettres a à f, notamment lorsque une partie a intenté le procès de bonne foi (let. b), lorsque la procédure est devenue sans objet et que la loi n’en dispose pas autrement (let. e) ou lorsque des circonstances particulières rendent la répartition en fonction du sort de la cause inéquitable (let. f). La libre appréciation prévue par l’art. 107 al. 1 CPC se confond, en pratique, avec une répartition en équité laissant une grande marge de manoeuvre au juge (Tappy, op. cit., n. 5 ad art. 107 CPC). c) En l’espèce, il est indéniable que l’intimé a tardé à s’exécuter et n’a pas respecté le délai auquel il s’était engagé pour le démantèlement de la construction litigieuse. Peu importe, comme il le prétend sans le démontrer dans sa réponse, que le délai prévu était trop court pour être respecté. Il lui appartenait de le faire valoir et de l’établir dans la procédure de première instance. Il faut donc admettre que les recourants ont ouvert action en exécution en raison des carences de l’intimé, qui s’est finalement conformé au jugement en cours d’instance. Tant en équité que selon les art. 106 et 107 CPC, il est donc justifié d’allouer des dépens de première instance aux recourants, lesquels peuvent être arrêtés à 1'500 fr. (art. 6 TDC). L’intimé devra en outre leur rembourser l’avance de frais par 800 francs.</w:t>
      </w:r>
    </w:p>
    <w:p>
      <w:r>
        <w:rPr>
          <w:b/>
        </w:rPr>
        <w:t>E. 5</w:t>
      </w:r>
    </w:p>
    <w:p>
      <w:r>
        <w:t>a) Il résulte de ce qui précède que le recours doit être partiellement admis et l’ordonnance entreprise réformée en ce sens que C.W.________ versera à A.W.________ et B.W.________, solidairement entre eux, la somme de 2'300 fr. à titre de participation à leurs frais de justice et dépens. b) Dès lors qu’aucune des parties n’obtient entièrement gain de cause, les frais judiciaires de deuxième instance, arrêtés à 300 fr. (art. 69 al. 1 TFJC [tarif des frais judiciaires en matière civile du 28 septembre 2010 ; RSV 270.11.5]), sont répartis par moitié, soit 150 fr. pour chacune des parties (art. 106 al. 2 CPC). Conformément à l’art. 334 al. 1 CPC, il y a lieu de rectifier d’office le chiffre IV du dispositif rendu le 4 mai 2015 en ce sens que les frais judiciaires de deuxième instance, arrêtés à 300 fr., sont mis à la charge des recourants par 150 fr. et à la charge de l’intimé par 150 francs. L’intimé versera aux recourants, solidairement entre eux, la somme de 150 fr. à titre de restitution partielle d’avances de frais judiciaires (art. 111 al. 2 CPC). Vu le sort du recours, les dépens de deuxième instance peuvent être compensés (art. 106 al. 2 CPC). Par ces motifs, la Chambre des recours civile du Tribunal cantonal, prononce : I. Le recours est partiellement admis. II. L’ordonnance est réformée comme suit au chiffre III de son dispositif : III. Dit que l’intimé C.W.________ versera aux requérants A.W.________ et B.W.________, solidairement entre eux, la somme de 2'300 fr. (deux mille trois cents francs) à titre de participation à leurs frais de justice et dépens. III. Les dépens de deuxième instance sont compensés. IV. Les frais judiciaires de deuxième instance, arrêtés à 300 fr. (trois cents francs), sont mis à la charge des recourants par 150 fr. (cent cinquante francs) et à la charge de l’intimé par 150 fr. (cent cinquante francs). V. L’intimé C.W.________ doit verser aux recourants A.W.________ et B.W.________, solidairement entre eux, la somme de 150 fr. (cent cinquante francs) à titre de restitution partielle d’avance de frais. VI. L'arrêt motivé est exécutoire. Le président :               La greffière : Du 4 mai 2015 Le dispositif de l'arrêt qui précède est communiqué par écrit aux intéressés. La greffière : Du L'arrêt qui précède, dont la rédaction a été approuvée à huis clos, est notifié en expédition complète, par l'envoi de photocopies, à : ‑ Me Yves Nicole (pour A.W.________ et B.W.________) ‑ Me Olivier Freymond (pour C.W.________)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