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418 vom 4. Mai 2015</w:t>
      </w:r>
    </w:p>
    <w:p>
      <w:r>
        <w:t>VD Tribunal cantonal, 2015-05-04, FR</w:t>
      </w:r>
    </w:p>
    <w:p>
      <w:r>
        <w:rPr>
          <w:b/>
        </w:rPr>
        <w:t xml:space="preserve">Quelle: </w:t>
      </w:r>
      <w:r>
        <w:t>https://mcp.opencaselaw.ch/entscheid/vd_findinfo_HC___2015___418</w:t>
      </w:r>
    </w:p>
    <w:p>
      <w:r>
        <w:t>FR: VD_FINDINFO HC / 2015 / 418 du 4 mai 2015</w:t>
      </w:r>
    </w:p>
    <w:p>
      <w:r>
        <w:t>IT: VD_FINDINFO HC / 2015 / 418 del 4 maggio 2015</w:t>
      </w:r>
    </w:p>
    <w:p>
      <w:pPr>
        <w:pStyle w:val="Heading2"/>
      </w:pPr>
      <w:r>
        <w:t>Regeste</w:t>
      </w:r>
    </w:p>
    <w:p>
      <w:r>
        <w:t>OBLIGATION D'ENTRETIEN, CONJOINT, ENFANT, PROTECTION DE L'UNION CONJUGALE, REVENU DE LA FORTUNE | 179 al. 1 CC, 179 CC</w:t>
      </w:r>
    </w:p>
    <w:p>
      <w:pPr>
        <w:pStyle w:val="Heading2"/>
      </w:pPr>
      <w:r>
        <w:t>Erwägungen</w:t>
      </w:r>
    </w:p>
    <w:p>
      <w:r>
        <w:rPr>
          <w:b/>
        </w:rPr>
        <w:t>E. 1</w:t>
      </w:r>
    </w:p>
    <w:p>
      <w:r>
        <w:t>L’appel est recevable contre les ordonnances de mesures protectrices de l’union conjugale, lesquels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et les réf. citées). Ces exigences s’appliquent aux litiges régis par la maxime inquisitoire (TF 4A_228/2012 du 28 août 2012 c. 2.2, publié in ATF 138 III 625). Une solution plus souple peut toutefois être envisagée lorsque la cause est régie par la maxime d’office, par exemple lorsque le litige porte sur la situation d'enfants mineurs en droit matrimonial (Tappy, op. cit., JT 2010 III 115, sp. pp. 136-137; Jeandin, op. cit., n. 5 ad art. 296 CPC et les réf. citées), à tout le moins lorsque le juge de première instance a violé la maxime inquisitoire illimitée (JT 2011 III 43 et références citées). c) En l'espèce, dès lors que le couple a un enfant mineur, le litige est régi par la maxime inquisitoire illimitée de l'art. 296 CPC (Hohl, Procédure civile, tome II, 2 e éd., Berne 2010, nn. 1166 ss et 2414 ss). Les pièces produites par l'appelant ont ainsi été prises en compte dans la mesure de leur utilité pour l’examen de la cause.</w:t>
      </w:r>
    </w:p>
    <w:p>
      <w:r>
        <w:rPr>
          <w:b/>
        </w:rPr>
        <w:t>E. 3</w:t>
      </w:r>
    </w:p>
    <w:p>
      <w:r>
        <w:t>a)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les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les réf. citées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b)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w:t>
      </w:r>
    </w:p>
    <w:p>
      <w:r>
        <w:rPr>
          <w:b/>
        </w:rPr>
        <w:t>E. 4</w:t>
      </w:r>
    </w:p>
    <w:p>
      <w:r>
        <w:t>a) L'appelant fait grief au premier juge d'avoir modifié à la hausse la contribution d'entretien en faveur des siens. Il soutient en effet que l'intimée avait connaissance depuis 2012 déjà du fait qu'il percevait des revenus de sa fortune. Il estime dès lors qu'en décembre 2013, elle connaissait sa situation financière et que d'invoquer des faits nouveaux en septembre 2014 est manifestement abusif. Au surplus, il fait valoir que les pièces sur lesquelles le premier juge s'est basé pour déterminer les revenus de sa fortune en 2014 n'ont aucune valeur probante, s'agissant de documents relatifs à l'année 2013. En outre, selon l'appelant, la performance de ses titres est désormais négative et ils ne génèrent plus de bénéfice, comme en atteste un courriel de son banquier. b) Le revenu de la fortune est pris en compte dans la mesure où il est régulier ou s'il sera perçu avec une grande vraisemblance à l'avenir (Hausheer/Sypcher, Handbuch des Unterhaltsrechts, 2 e éd., Berne 2010, no 01.75, p. 35 et les réf. citées; Juge délégué CACI 23 septembre 2011/268). Il y a lieu de tenir compte du revenu de la fortune dans tous les cas et non seulement en cas de déficit (TF 5A_433/2013 du 10 décembre 2013 c. 7.3.2, FamPra.ch 2014 p. 715). La prise en compte de la fortune du débiteur n'intervient qu'à titre subsidiaire et avec retenue. Ce n'est en principe que lorsque les revenus ne permettent pas de couvrir le minimum vital du créancier que le conjoint débiteur peut être contraint d'engager son capital (Bastons Bulletti, L'entretien après divorce : méthodes de calcul, montant, durée et limites, SJ 2007 II 83 et références; Hausheer/Spycher, op. cit., n° 05.66, p. 266; TF 5P.173/2002 du 29 mai 2002 c. 5a, FamPra.ch 2002 p. 806 et réf.; ATF 134 III 581 c. 3.3, JT 2009 I 267). En l'absence de déficit, seul le rendement du capital entre en ligne de compte (TF 5A_48/2013 du 19 juillet 2013 c. 6.3). c) En l'espèce, dans le cadre de la procédure d'appel qui a donné lieu à l'arrêt du 18 mars 2014, l'intimée a notamment requis la production de la déclaration d'impôt 2013 des parties. Or, le juge délégué a rejeté cette réquisition au motif que la situation pourrait faire l'objet d'un réexamen, pour le cas où une modification interviendrait, dans le cadre de l'audience de mesures protectrices de l'union conjugale du 16 juin 2014. Les parties ont ensuite réservé la possibilité de revoir, dans le cadre de la convention intervenue à l'audience du 16 juin 2014, le montant des pensions une fois la déclaration d'impôt 2013 produite. Le juge des mesures protectrices a imparti un délai au 31 juillet 2014 à A.M.________ pour produire cette pièce. A cette date, le conseil de celui-ci a requis une brève prolongation de délai au motif que son client ne lui avait pas fourni cette pièce, qui a finalement été produite le 18 août 2014. Le 12 septembre 2014, la requérante a requis que la cause soit reprise s’agissant du volet économique de la situation des époux et a conclu à ce que la contribution d’entretien due par l'intimé soit refixée de façon à ce qu’elle corresponde aux revenus effectifs de A.M.________, l’étendue de ceux-ci étant désormais connue. Ainsi, le raisonnement de l'appelant consistant à prétendre que la reprise de cause constitue une nouvelle requête de mesures protectrices de l'union conjugale irrecevable, alors qu'il avait expressément donné son accord à ce que la contribution d'entretien soit réexaminée une fois ces éléments de fait connus, est abusif et confine à la mauvaise foi. En outre, même si l'intimée savait que son mari avait de la fortune qui générait des revenus en 2013, elle ne connaissait pas le montant de ceux-ci. Or, ces derniers modifient la situation de manière notable et durable. A cet égard, l'appelant perd de vue qu'il lui appartient de collaborer activement à la procédure et d'étayer ses propres thèses, soit d'établir le montant de ses revenus, ce qu'il n'a pas fait, s'agissant de l'année 2013, avant août 2014. Dans ces circonstances, il va de soi qu'il faut tenir compte des revenus des titres pour fixer les contributions d'entretien nouvellement dues. L'appelant prétend également que les revenus de sa fortune ont considérablement baissé durant l'année 2014. Il ne produit toutefois aucune pièce à l'appui de ses assertions, de sorte que le raisonnement du premier juge consistant à tenir compte des revenus de la fortune de 2013 pour fixer la contribution due de septembre à novembre 2014, puis d'une fortune moindre dès le 1 er décembre 2014, ne prête pas le flanc à la critique. L'appelant produit encore un courriel de son banquier évaluant la performance de ses titres entre le 1 er janvier 2015 et le 16 mars 2015 à moins 1,21 %. Cette évaluation ne concerne toutefois à l'évidence pas tout le patrimoine de l'appelant, constitué également d'actions, et ne saurait fonder une réduction de la contribution d'entretien. Au surplus, les revenus de la fortune ne peuvent être correctement évalués sur une période aussi courte. Ils doivent être appréciés sur une durée plus longue, les rendements pouvant fluctuer de manière importante selon les mois considérés. Hormis la prise en compte des revenus de sa fortune, l'appelant ne fait valoir aucun autre grief. Il y a par conséquent lieu de confirmer les montants des contributions d'entretien tels que définis par le premier juge.</w:t>
      </w:r>
    </w:p>
    <w:p>
      <w:r>
        <w:rPr>
          <w:b/>
        </w:rPr>
        <w:t>E. 5</w:t>
      </w:r>
    </w:p>
    <w:p>
      <w:r>
        <w:t>a) Au final, l'appel doit être rejeté dans la procédure de l'art. 312 al. 1 CPC et l'ordonnance entreprise confirmée. b) Les frais judiciaires de deuxième instance, arrêtés à 600 fr. (art. 65 al. 2 TFJC [tarif des frais judiciaires civils du 28 septembre 2010, RSV 270.11.5]), sont mis à la charge de l'appelant, qui succombe (art. 106 al. 1 CPC). c) Il n'y a pas lieu à l'allocation de dépens, l'intimée n'ayant pas été invitée à se déterminer. Par ces motifs, la juge déléguée de la Cour d’appel civile du Tribunal cantonal, statuant en application de l'art. 312 al. 1 CPC, prononce : I. L’appel est rejeté. II. L'ordonnance est confirmée. III. Les frais judiciaires de deuxième instance, arrêtés à 600 fr. (six cents francs), sont mis à la charge de l'appelant A.M.________. IV. L'arrêt est exécutoire La juge déléguée : La greffière : Du L'arrêt qui précède, dont la rédaction a été approuvée à huis clos, est notifié à : ‑ Me Véronique Fontana (pour A.M.________), ‑ Me Mireille Loroch (pour B.M.________).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