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417 vom 8. Mai 2015</w:t>
      </w:r>
    </w:p>
    <w:p>
      <w:r>
        <w:t>VD Tribunal cantonal, 2015-05-08, FR</w:t>
      </w:r>
    </w:p>
    <w:p>
      <w:r>
        <w:rPr>
          <w:b/>
        </w:rPr>
        <w:t xml:space="preserve">Quelle: </w:t>
      </w:r>
      <w:r>
        <w:t>https://mcp.opencaselaw.ch/entscheid/vd_findinfo_HC___2015___417</w:t>
      </w:r>
    </w:p>
    <w:p>
      <w:r>
        <w:t>FR: VD_FINDINFO HC / 2015 / 417 du 8 mai 2015</w:t>
      </w:r>
    </w:p>
    <w:p>
      <w:r>
        <w:t>IT: VD_FINDINFO HC / 2015 / 417 del 8 maggio 2015</w:t>
      </w:r>
    </w:p>
    <w:p>
      <w:pPr>
        <w:pStyle w:val="Heading2"/>
      </w:pPr>
      <w:r>
        <w:t>Regeste</w:t>
      </w:r>
    </w:p>
    <w:p>
      <w:r>
        <w:t>PROTECTION DE L'UNION CONJUGALE | 308 al. 2 CPC (CH)</w:t>
      </w:r>
    </w:p>
    <w:p>
      <w:pPr>
        <w:pStyle w:val="Heading2"/>
      </w:pPr>
      <w:r>
        <w:t>Erwägungen</w:t>
      </w:r>
    </w:p>
    <w:p>
      <w:r>
        <w:rPr>
          <w:b/>
        </w:rPr>
        <w:t>E. 1.1</w:t>
      </w:r>
    </w:p>
    <w:p>
      <w:r>
        <w:t>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3.1.1</w:t>
      </w:r>
    </w:p>
    <w:p>
      <w:r>
        <w:t>L'appelant conteste le montant retenu par le premier juge au titre des frais de transport de l'intimée, soit 800 fr. par mois. Il fait valoir que celle-ci travaille à l'aéroport de Genève et a des horaires stables, de sorte qu'elle peut prendre les transports publics. Il estime dès lors que seul un montant mensuel de 304 fr. 85 doit être pris en compte, correspondant aux frais d'un abonnement général.</w:t>
      </w:r>
    </w:p>
    <w:p>
      <w:r>
        <w:rPr>
          <w:b/>
        </w:rPr>
        <w:t>E. 3.1.2</w:t>
      </w:r>
    </w:p>
    <w:p>
      <w:r>
        <w:t>La jurisprudence dispose que si la situation des parties est serrée, les frais d'un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cit.; TF 5A_703/2011 du 7 mars 2012 c. 4.2).</w:t>
      </w:r>
    </w:p>
    <w:p>
      <w:r>
        <w:rPr>
          <w:b/>
        </w:rPr>
        <w:t>E. 3.1.3</w:t>
      </w:r>
    </w:p>
    <w:p>
      <w:r>
        <w:t>Le premier juge a considéré que l'intimée doit parcourir 80 km par jour et qu'elle travaille à 80%. Il a donc estimé les frais de transport à un montant arrondi de 800 fr. par mois ([80 km x 4 jours x 4 semaines] x 0 fr. 65). Compte tenu de la situation de l'intimée, qui travaille à 80%, assume la garde partagée de trois enfants et vient de donner naissance à un quatrième enfant, on ne saurait exiger d'elle qu'elle emprunte les transports publics, ce qui implique notoirement une augmentation substantielle de la durée des déplacements. On peut également lui reconnaître l'utilité d'un véhicule pour respecter le principe de l'égalité de traitement entre les époux (art.</w:t>
      </w:r>
    </w:p>
    <w:p>
      <w:r>
        <w:rPr>
          <w:b/>
        </w:rPr>
        <w:t>E. 3.2</w:t>
      </w:r>
    </w:p>
    <w:p>
      <w:r>
        <w:t>L'appelant soutient encore qu'il résulte du prononcé attaqué que l'enfant E.J.________ ne représente plus une charge pour l'intimée au vu des allocations familiales pour famille nombreuse perçues pour ses quatre enfants et qu'un montant de 105 fr. 45 devrait de ce fait être déduit des charges de l'intimée. Dans les charges de la mère, le premier juge a mentionné pour le minimum vital et l'assurance maladie de E.J.________ le calcul suivant: "[(400 + 89.10) / 2] – 350". Alors que ce calcul aboutit au chiffre négatif de "- 105 fr. 45", le premier n'a rien comptabilisé. C'est donc ce montant que l'appelant entend déduire des charges de l'intimée. Ce calcul ne tient toutefois pas compte du fait que, si le minimum vital et l'assurance maladie de l'enfant sont partagés par deux pour tenir compte du fait que le père doit également y contribuer, l'allocation familiale doit également profiter aux deux parents qui vivent avec l'enfant, comme c'est le cas pour les trois aînés. Ainsi, les charges de l'enfant E.J.________ doivent être comptabilisées comme il suit dans les charges incompressibles de l'intimée: "- base mensuelle E.J.________ ([400 / 2] – [350 / 2]) : 25 fr. 00 - assurance-maladie E.J.________ (89.10 / 2) 44 fr. 55" Il s'ensuit que, contrairement à ce qu'a retenu le premier juge (0 fr.) et à ce que requiert l'appelant (- 105 fr. 45), l'enfant E.J.________ génère pour l'intimée une charge supplémentaire de 69 fr. 55. Le grief de l'appelant sur ce point doit donc également être rejeté.</w:t>
      </w:r>
    </w:p>
    <w:p>
      <w:r>
        <w:rPr>
          <w:b/>
        </w:rPr>
        <w:t>E. 3.3</w:t>
      </w:r>
    </w:p>
    <w:p>
      <w:r>
        <w:t>Enfin, l'appelant laisse entendre que la situation des parties est demeurée inchangée depuis la dernière convention du 9 octobre 2014, si ce n'est la venue au monde de l'enfant E.J.________ et le congé maternité de l'intimée. Il admet donc qu'un montant de 244 fr. 55 (200 fr. + 44 fr. 55 correspondant à la moitié du minimum vital et de la prime d'assurance maladie de l'enfant E.J.________) soit déduit de la contribution d'entretien de 2'000 fr. fixée par convention signée le 9 octobre 2014. Il conteste en revanche que la moitié des allocations familiales soit attribuée à l'intimée. Comme l'a relevé à juste titre le premier juge, la convention du 9 octobre 2014 prévoyait expressément à son chiffre VI que la situation serait revue au courant du mois de janvier 2015. Par ailleurs, chacune des parties a requis la modification de la contribution d'entretien. Le premier juge était donc fondé à réexaminer la situation et à établir un calcul des charges des époux. Dans ce cadre, c'est également à juste titre qu'il a partagé les allocations familiales: en effet, les parents étant convenu d'une garde partagée, il est adéquat que la base mensuelle de chaque enfant soit partagée entre les parents, tout comme l'allocation familiale. Ce point ne prête pas le flanc à la critique et le grief doit être rejeté. 4. En définitive, l'appel doit être rejeté dans la procédure de l'art. 312 al. 1 CPC et le prononcé confirmé. Comme l'appel était dépourvu de chances de succès, la demande d'assistance judiciaire de l'appelant doit être rejetée (art. 117 let. b CPC ). Les frais judiciaires de deuxième instance, arrêtés à 600 fr. (art. 65 al. 2 TFJC [tarif du 28 septembre 2010 des frais judiciaires civils; RSV 270.11.5]), sont mis à la charge de l'appelant, qui succombe (art. 106 al. 1 CPC). L'intimée n'ayant pas été invitée à se déterminer, il n'y a pas lieu à l'allocation de dépens en sa faveur. Par ces motifs, le Juge délégué de la Cour d’appel civile du Tribunal cantonal, en application de l'art. 312 al. 1 CPC, prononce : I. L’appel est rejeté. II. Le prononcé est confirmé. III. La requête d'assistance judiciaire de l'appelant A.J.________ est rejetée. IV. Les frais judiciaires de deuxième instance, arrêtés à 600 fr. (six cents francs), sont mis à la charge de l'appelant A.J.________. V. L'arrêt est exécutoire. Le juge délégué : La greffière : Du L'arrêt qui précède, dont la rédaction a été approuvée à huis clos, est notifié à : ‑ Me Jérôme Campart (pour A.J.________), ‑ Me Emmanuel Hoffmann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8</w:t>
      </w:r>
    </w:p>
    <w:p>
      <w:r>
        <w:t>al. 3, 1 ère phrase Cst [Constitution fédérale du 18 avril 1999, RS 101]; ATF 125 I 21 c. 3a et les réf. cit.). En effet, un montant de 150 fr. à titre de frais de véhicule a été retenu par le premier juge en faveur de l'appelant, montant arrêté selon le même mode de calcul. On notera par surabondance qu'en principe, lorsque l'utilité d'un véhicule est attestée, peuvent être pris en compte en sus d'un montant par kilomètre pour les frais d'essence, un montant forfaitaire de 100 à 300 fr. correspondant à l'entretien, à l'assurance et aux impôts du véhicule (TF 5A_338/2014 du 2 juillet 2014 c. 3.1). Dans le cas présent, le premier juge n'a retenu pour chaque partie qu'un montant de 65 ct. par kilomètre, ce qui reste modéré. Ce premier moyen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