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397 vom 11. Mai 2015</w:t>
      </w:r>
    </w:p>
    <w:p>
      <w:r>
        <w:t>VD Tribunal cantonal, 2015-05-11, FR</w:t>
      </w:r>
    </w:p>
    <w:p>
      <w:r>
        <w:rPr>
          <w:b/>
        </w:rPr>
        <w:t xml:space="preserve">Quelle: </w:t>
      </w:r>
      <w:r>
        <w:t>https://mcp.opencaselaw.ch/entscheid/vd_findinfo_HC___2015___397</w:t>
      </w:r>
    </w:p>
    <w:p>
      <w:r>
        <w:t>FR: VD_FINDINFO HC / 2015 / 397 du 11 mai 2015</w:t>
      </w:r>
    </w:p>
    <w:p>
      <w:r>
        <w:t>IT: VD_FINDINFO HC / 2015 / 397 del 11 maggio 2015</w:t>
      </w:r>
    </w:p>
    <w:p>
      <w:pPr>
        <w:pStyle w:val="Heading2"/>
      </w:pPr>
      <w:r>
        <w:t>Regeste</w:t>
      </w:r>
    </w:p>
    <w:p>
      <w:r>
        <w:t>OBLIGATION D'ENTRETIEN, PROTECTION DE L'UNION CONJUGALE, ENFANT, INTÉRÊT DE L'ENFANT | 163 CC, 176 al. 1 ch. 1 CC,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l’intimée a requis la production par l’appelant du contrat de bail conclu pour l’appartement qu’il loue à [...] depuis le 1 er mai 2015. Dès lors que la présente cause a notamment pour objet la fixation d’une contribution d’entretien due au bénéfice d’enfants mineurs et qu’en conséquence, celle-ci est régie par la maxime inquisitoire illimitée (art. 296 al. 1 CPC), il a été donné suite à cette réquisition de pièce. Le 7 avril 2015, l’appelant a produit une copie de son contrat de bail. Il en a été tenu compte dans l’établissement de la situation financière de celui-ci (cf. « en fait », ch. 4b supra ).</w:t>
      </w:r>
    </w:p>
    <w:p>
      <w:r>
        <w:rPr>
          <w:b/>
        </w:rPr>
        <w:t>E. 3</w:t>
      </w:r>
    </w:p>
    <w:p>
      <w:r>
        <w:t>a) L’appelant conteste le calcul de la contribution d’entretien mensuelle effectué par le premier juge. Il soutient en premier lieu que les frais liés à la fille au pair engagée par les parties pour la garde des enfants M.________ et T.________ auraient été comptabilisés de manière excessive par le premier juge, dès lors qu’ils ont été pris en compte parmi les charges usuelles de l’intimée tant dans sa base mensuelle selon les normes OPF, par 1'700 fr. (base mensuelle pour deux personnes vivant avec des enfants), que dans un poste « nounou », par 1'000 francs. Pour l’appelant, il se justifierait de réduire les charges de l’intimée d’un montant d’au moins 350 fr., dès lors que la fille au pair ne devrait pas être rémunérée à hauteur de 1'000 fr. par mois, ses frais de nourriture et de logement étant déjà compris dans ce montant. L’appelant soutient en second lieu que le premier juge aurait omis d’intégrer dans ses charges les frais de déplacement et de repas pour l’exercice de son activité professionnelle auprès de [...]. Il prétend en conséquence que la pension mensuelle due pour l’entretien des siens devrait être diminuée d’au moins 200 fr., de sorte qu’en définitive, la contribution d’entretien litigieuse devrait être arrêtée à 1'000 fr. par mois. b) En vertu de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c) En l’espèce, l’intimée a exposé dans son mémoire de réponse qu’il n’existait à [...] aucune garderie ni offre de prise en charge parascolaire. Elle a ainsi établi de manière crédible que cette situation imposait l’engagement d’une fille au pair pour la garde des enfants M.________ et T.________. Quant à l’appelant, il n’a nullement établi s’être opposé à ce mode de garde, duquel il tire d’ailleurs bénéfice puisque son épouse est parvenue à poursuivre son activité professionnelle à la naissance des enfants. Comme l’a justement retenu le premier juge, la fille au pair travaille à plein temps chez l’intimée pour un salaire mensuel de 1'000 fr., auquel s’ajoute ses frais de logement et de nourriture qui doivent être pris en charge par l’intimée. Les frais supplémentaires en résultant justifient amplement la prise en compte, par analogie, d’une base mensuelle pour deux personnes vivant avec des enfants, par 1'700 francs. S’agissant des frais professionnels de l’appelant, à savoir ses frais de déplacement et de repas pris à l’extérieur, il s’avère que le premier juge a anticipé son déménagement à [...] en comptabilisant, de manière large, un montant de 1'600 fr. à titre de « loyer mensuel et charges ». Ce déménagement étant effectif depuis le 1 er mai 2015, l’appelant, qui s’acquittera finalement d’un loyer mensuel de 1'110 fr. pour un appartement de deux pièces sis à [...], pourra aisément se rendre au dépôt des bus de son employeur sans utiliser sa voiture et prendre ses repas à domicile. Là également, l’appréciation du premier juge échappe à toute critique.</w:t>
      </w:r>
    </w:p>
    <w:p>
      <w:r>
        <w:rPr>
          <w:b/>
        </w:rPr>
        <w:t>E. 4</w:t>
      </w:r>
    </w:p>
    <w:p>
      <w:r>
        <w:t>Il s’ensuit que l’appel doit être rejeté et l’ordonnance entreprise confirmée. Les frais judiciaires de deuxième instance, arrêtés pour l’appelant à 600 fr. (art. 63 al. 1 TFJC [tarif des frais judiciaires civils du 28 septembre 2010 ; RSV 270.11.5]), sont laissés à la charge de l’Etat. L’appelant doit verser à l’intimée la somme de 1’500 fr. à titre de dépens de deuxième instance (art. 9 al. 2 TDC [tarif du 23 novembre 2010 des dépens en matière civile ; RSV 270.11.6]). En sa qualité de conseil d’office de l'appelant, Me Laurent Gilliard a droit à une rémunération équitable pour ses opérations et débours dans la procédure d’appel (art. 122 al. 1 let. a CPC). Les 5 heures et 55 minutes (5.91 heures) de temps consacré au dossier ainsi que les 18 fr. de débours allégués dans la liste d’opérations du 12 mai 2015 sont admis. Au tarif horaire de 180 fr. (art. 2 al. 1 let. a RAJ [règlement du 7 décembre 2010 sur l'assistance judiciaire en matière civile ; RSV 211.02.3]), l'indemnité est arrêtée à 1’064 fr., plus 85 fr. de TVA au taux de 8 %, et les débours à 19 fr. 50, TVA comprise, soit au total 1'168 fr. 50. En sa qualité de conseil d’office de l'intimée, Me Anne-Louise Gillièron a droit à une rémunération équitable pour ses opérations et débours dans la procédure d’appel (art. 122 al. 1 let. a CPC). Les 5 heures et 35 minutes (5.58 heures) de temps consacré au dossier ainsi que les 42 fr., TVA comprise, de débours allégués dans sla liste d’opérations du 12 mai 2015 sont admis. Au tarif horaire de 180 fr. (art. 2 al. 1 let. a RAJ [règlement du 7 décembre 2010 sur l'assistance judiciaire en matière civile ; RSV 211.02.3]), l'indemnité est arrêtée à 1’004 fr., plus 80 fr. de TVA au taux de 8 %, et les débours à 42 fr., TVA comprise, soit au total 1’126 francs. Les parties, toutes deux au bénéfice de l’assistance judiciaire, sont, dans la mesure de l’art. 123 CPC, tenues au remboursement des indemnités aux conseils d’office mises à la charge de I’Etat, P.________ étant en outre tenu au remboursement des frais judiciaires. Par ces motifs, le Juge délégué de la Cour d’appel civile du Tribunal cantonal, prononce : I. L’appel est rejeté. II. L’ordonnance est confirmée. III. Les frais judiciaires de deuxième instance, arrêtés à 600 fr. (six cents francs) pour l’appelant sont laissés à la charge de l’Etat. IV. L’appelant P.________ doit verser à l’intimée Y.________, la somme de 1’500 fr. (mille cinq cents francs) à titre de dépens de deuxième instance. V. L’indemnité d’office de Me Laurent Gilliard, conseil de l’appelant, est arrêtée à 1'168 fr. 50 (mille cent soixante-huit francs et cinquante centimes), TVA et débours compris. VI. L’indemnité d’office de Me Anne-Louise Gillièron, conseil de l’intimée, est arrêtée à 1’126 fr. (mille cent vingt-six francs), TVA et débours compris. VII. P.________, bénéficiaire de l’assistance judiciaire, est, dans la mesure de l’art. 123 CPC, tenu au remboursement des frais judiciaires et de l’indemnité du conseil d’office mis à la charge de l’Etat. VIII. Y.________, bénéficiaire de l’assistance judiciaire, est, dans la mesure de l’art. 123 CPC, tenue au remboursement de l’indemnité du conseil d’office mise à la charge de l’Etat. IX. L’arrêt est exécutoire. Le juge délégué : Le greffier : Du L'arrêt qui précède, dont la rédaction a été approuvée à huis clos, est notifié à : ‑ Me Laurent Gilliard (pour P.________) ‑ Me Anne-Louise Gillièron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