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373 vom 29. April 2015</w:t>
      </w:r>
    </w:p>
    <w:p>
      <w:r>
        <w:t>VD Tribunal cantonal, 2015-04-29, FR</w:t>
      </w:r>
    </w:p>
    <w:p>
      <w:r>
        <w:rPr>
          <w:b/>
        </w:rPr>
        <w:t xml:space="preserve">Quelle: </w:t>
      </w:r>
      <w:r>
        <w:t>https://mcp.opencaselaw.ch/entscheid/vd_findinfo_HC___2015___373</w:t>
      </w:r>
    </w:p>
    <w:p>
      <w:r>
        <w:t>FR: VD_FINDINFO HC / 2015 / 373 du 29 avril 2015</w:t>
      </w:r>
    </w:p>
    <w:p>
      <w:r>
        <w:t>IT: VD_FINDINFO HC / 2015 / 373 del 29 aprile 2015</w:t>
      </w:r>
    </w:p>
    <w:p>
      <w:pPr>
        <w:pStyle w:val="Heading2"/>
      </w:pPr>
      <w:r>
        <w:t>Regeste</w:t>
      </w:r>
    </w:p>
    <w:p>
      <w:r>
        <w:t>CAS CLAIR, EXPULSION DE LOCATAIRE, LOCATAIRE, PROTECTION DES LOCATAIRES, EXÉCUTION FORCÉE | 257d CO, 101 al. 3 CPC (CH), 257 CPC (CH)</w:t>
      </w:r>
    </w:p>
    <w:p>
      <w:pPr>
        <w:pStyle w:val="Heading2"/>
      </w:pPr>
      <w:r>
        <w:t>Erwägungen</w:t>
      </w:r>
    </w:p>
    <w:p>
      <w:r>
        <w:rPr>
          <w:b/>
        </w:rPr>
        <w:t>E. 1</w:t>
      </w:r>
    </w:p>
    <w:p>
      <w:r>
        <w:t>a)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Point n’est toutefois besoin de trancher définitivement ce point en l’espèce. Il est en effet acquis que l’intimé ne pourrait en aucun cas obtenir un prononcé d’expulsion en procédure ordinaire dans un délai inférieur à six mois dès le dépôt de l’appel. Le loyer mensuel étant de 1’855 fr., la valeur litigieuse est dès lors sans conteste supérieure à 10'000 fr., de sorte que la voie de l'appel est ouverte (art. 308 al. 2 CPC). b) 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 TF 4A_312/2013 du 17 octobre 2013 c. 3.2 ; cf. CACI 25 novembre 2015/607 c. 3a ; CACI 6 mars 2014/102 c. 2b ; CACI 10 juin 2013/289 c. 4a ; CACI 6 mai 2013/237 c. 5a).</w:t>
      </w:r>
    </w:p>
    <w:p>
      <w:r>
        <w:rPr>
          <w:b/>
        </w:rPr>
        <w:t>E. 3</w:t>
      </w:r>
    </w:p>
    <w:p>
      <w:r>
        <w:t>a) L’appelant ne conteste pas le fait que le montant de 3'710 fr. correspondant aux loyers des mois de juillet et d’août 2014 n’a pas entièrement été payé à l’échéance du délai comminatoire de trente jours qui lui avait été imparti par courrier recommandé du 13 août 2014. Il conteste en revanche l’admission du cas clair, dès lors que les motifs exposés à l’appui de sa requête déposée le 17 octobre 2014 devant la Commission de conciliation commanderaient une décision d’appréciation ou la prise en considération de l’ensemble des circonstances, que la Juge de paix n’était pas habilitée à faire dans le cadre d’une procédure sommaire. L’appelant fait également valoir le fait que l’intimé se serait accomodé des retards dans le paiement des loyers et qu’il ne serait dès lors pas fondé à résilier le bail pour des retards de paiement. b/aa)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 4), cela même si l’arriéré avait finalement été payé (cf. not. TF 27 février 1997, Cahiers du bail [CdB] 3/97 pp. 65ss). bb)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ATF 138 III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Aussi, la seule contestation du congé devant l’autorité de conciliation ne saurait impliquer un examen plus restrictif de la notion de cas clair. En effet, lorsque le locataire saisit parallèlement la Commission de conciliation aux fins de contester le congé, mais que les motifs invoqués à l’appui de la demande sont dénués de fondement, le juge de l’expulsion peut faire application de l’art. 257 CPC (Colombini, Condensé de la jurisprudence fédérale et vaudoise dès 2009 en matière de congé donné en raison du défaut de paiement du loyer, in JT 2012 III 37, n. 61, p. 67). c) En l’espèce, l’appelant a fait valoir à l’appui de sa requête déposée le 17 octobre 2014 devant la Commission de conciliation que le congé notifié le 19 septembre 2014 par l’intimé serait abusif, dès lors que ce dernier aurait toléré ses retards et attendu que le locataire mette les locaux en conformité à ses frais avant de résilier le bail quelques jours plus tard. S’agissant de prétendus travaux de mise en conformité, l’appelant n’a pas établi que les locaux n’étaient pas en conformité lors de la prise du bail. Il n’a pas non plus établi que les factures produites à l’appui de sa requête correspondaient à des travaux qui auraient dû être assumés par l’intimé et encore moins que le remboursement des travaux avait été demandé à celui-ci. Il ressort par ailleurs du constat du 7 mars 2015 réalisé par l’entreprise H.________ que les locaux n’étaient à cette date toujours pas aux normes s’agissant des installations électriques. Quant à l’argumentation de l’appelant selon laquelle l’intimé aurait toléré ses retards de paiement, elle ne saurait en aucun cas être suivie, eu égard en particulier aux courriers de rappels qui lui ont été adressés par l’intimé les 26 février, 26 mars, 25 avril, 26 mai, 12 juin et 15 juillet 2014. Compte tenu de ce qui précède, on doit considérer que l’appelant n’a pas rendu vraisemblable que les objections formulées dans sa requête de conciliation du 17 octobre 2014 n’étaient pas vouées à l’échec.</w:t>
      </w:r>
    </w:p>
    <w:p>
      <w:r>
        <w:rPr>
          <w:b/>
        </w:rPr>
        <w:t>E. 4</w:t>
      </w:r>
    </w:p>
    <w:p>
      <w:r>
        <w:t>Il s’ensuit que l’appel doit être rejeté selon le mode procédural de l’art. 312 al. 1 CPC et l’ordonnance entreprise confirmée. Le délai de libération des locaux étant échu du fait de l’effet suspensif de l’appel (art. 315 al. 1 CPC), il convient de renvoyer la cause au premier juge pour qu’il fixe à l’appelant un nouveau délai pour libérer les locaux litigieux. Les frais judiciaires de deuxième instance, arrêtés à 100 fr. (art. 62 al. 1 et 3 TFJC [tarif des frais judiciaires civils du 28 septembre 2010 ; RSV 270.11.5]), sont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