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370 vom 29. April 2015</w:t>
      </w:r>
    </w:p>
    <w:p>
      <w:r>
        <w:t>VD Tribunal cantonal, 2015-04-29, FR</w:t>
      </w:r>
    </w:p>
    <w:p>
      <w:r>
        <w:rPr>
          <w:b/>
        </w:rPr>
        <w:t xml:space="preserve">Quelle: </w:t>
      </w:r>
      <w:r>
        <w:t>https://mcp.opencaselaw.ch/entscheid/vd_findinfo_HC___2015___370</w:t>
      </w:r>
    </w:p>
    <w:p>
      <w:r>
        <w:t>FR: VD_FINDINFO HC / 2015 / 370 du 29 avril 2015</w:t>
      </w:r>
    </w:p>
    <w:p>
      <w:r>
        <w:t>IT: VD_FINDINFO HC / 2015 / 370 del 29 aprile 2015</w:t>
      </w:r>
    </w:p>
    <w:p>
      <w:pPr>
        <w:pStyle w:val="Heading2"/>
      </w:pPr>
      <w:r>
        <w:t>Regeste</w:t>
      </w:r>
    </w:p>
    <w:p>
      <w:r>
        <w:t>DÉCISION D'IRRECEVABILITÉ, INTÉRÊT DIGNE DE PROTECTION, FRAIS JUDICIAIRES, DÉPENS | 110 CPC (CH), 322 al. 1 CPC (CH), 59 al. 2 let. a CPC (CH)</w:t>
      </w:r>
    </w:p>
    <w:p>
      <w:pPr>
        <w:pStyle w:val="Heading2"/>
      </w:pPr>
      <w:r>
        <w:t>Volltext</w:t>
      </w:r>
    </w:p>
    <w:p>
      <w:r>
        <w:t>Vaud Tribunal cantonal Chambre des recours civile 29.04.2015 HC / 2015 / 370</w:t>
      </w:r>
    </w:p>
    <w:p>
      <w:r>
        <w:t>DÉCISION D'IRRECEVABILITÉ, INTÉRÊT DIGNE DE PROTECTION, FRAIS JUDICIAIRES, DÉPENS | 110 CPC (CH), 322 al. 1 CPC (CH), 59 al. 2 let. a CPC (CH)</w:t>
      </w:r>
    </w:p>
    <w:p>
      <w:r>
        <w:t>TRIBUNAL CANTONAL PD14.002968-150631 158 CHAMBRE DES RECOURS CIVILE _________________________________________ Arrêt du 29 avril 2015 __________________ Composition :               M. Winzap , président M. Pellet et Mme Crittin Dayen, juges Greffière :              Mme Egger Rochat ***** Art. 59 al. 2 let. a, 110 et 322 al. 1 CPC Statuant à huis clos sur le recours interjeté par A.I.________ , à [...], intimée, contre l’ordonnance de mesures provisionnelles rendue le 26 mars 2015 par la Présidente du Tribunal civil de l’arrondissement de la Broye et du Nord vaudois dans la cause divisant la recourante d’avec E.I.________ , à [...], requérant, la Chambre des recours civile du Tribunal cantonal considère : En fait et en droit : 1. A.I.________ et E.I.________ sont opposés par une procédure en modification de jugement de divorce ouverte auprès du Tribunal d’arrondissement de la Broye et du Nord vaudois. Par ordonnance de mesures provisionnelles du 26 mars 2015, la Présidente du Tribunal civil de l’arrondissement de la Broye et du Nord vaudois a admis la requête de mesures provisionnelles formée le 23 janvier 2014 par E.I.________ contre A.I.________ (I) ; a suspendu avec effet au 1 er février 2014, le versement de la contribution d’entretien mise à la charge d’E.I.________ en faveur de son fils [...], né le [...] 2001, par jugement rendu le 8 septembre 2003 par le Président du Tribunal de la Broye et du Nord vaudois (II) ; dit que les frais et dépens suivent le sort de la cause au fond (III) ; rejeté toute autre ou plus ample conclusion (IV) et déclaré la présente ordonnance immédiatement exécutoire, nonobstant appel (V). 2. Par acte du 2 avril 2015, A.I.________ a déclaré « je ne suis pas d’accord que les frais judiciaires soient partagés entre mon ex mari et moi ». 3. Selon l’art. 110 CPC (Code de procédure civile suisse du 19 décembre 2008, RS 272), la décision sur les frais ne peut être attaquée séparément que par un recours. La voie du recours au sens de l’art. 319 let. b ch. 1 CPC est dès lors ouverte. Conformément à l’art. 59 al. 1 et al. 2 let. a CPC, le tribunal n’entre en matière que sur les demandes et les requêtes qui satisfont aux conditions de recevabilité de l’action, dont notamment la condition que le demandeur ou le requérant ait un intérêt digne de protection. Le tribunal examine d’office la réalisation de ces conditions (art. 60 CPC). En l’espèce, la recourante conteste le partage des frais entre son ex-époux et elle-même. Or, le chiffre III de l’ordonnance entreprise mentionne que « les frais et dépens suivent le sort de la cause au fond ». Dans la mesure où un tel partage n’a pas encore eu lieu, la recourante ne dispose d’aucun intérêt actuel à recourir, étant observé qu’elle ne discute pas du report de la décision sur la question des frais et dépens. En tout état de cause, la recourante n’explique pas en quoi la répartition des frais qu’elle allègue serait erronée. Elle se contente de rappeler la prise en charge respective par les parties des frais liés à la procédure de divorce et à la prise en charge de l’enfant, ce qui est insuffisant pour combattre une éventuelle répartition des frais. 4. Au vu de ce qui précède, le recours doit être déclaré irrecevable. Le présent 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A.I.________, ‑ Me Paolo Ghidoni (pour E.I.________).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