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361 vom 8. Mai 2015</w:t>
      </w:r>
    </w:p>
    <w:p>
      <w:r>
        <w:t>VD Tribunal cantonal, 2015-05-08, FR</w:t>
      </w:r>
    </w:p>
    <w:p>
      <w:r>
        <w:rPr>
          <w:b/>
        </w:rPr>
        <w:t xml:space="preserve">Quelle: </w:t>
      </w:r>
      <w:r>
        <w:t>https://mcp.opencaselaw.ch/entscheid/vd_findinfo_HC___2015___361</w:t>
      </w:r>
    </w:p>
    <w:p>
      <w:r>
        <w:t>FR: VD_FINDINFO HC / 2015 / 361 du 8 mai 2015</w:t>
      </w:r>
    </w:p>
    <w:p>
      <w:r>
        <w:t>IT: VD_FINDINFO HC / 2015 / 361 del 8 maggio 2015</w:t>
      </w:r>
    </w:p>
    <w:p>
      <w:pPr>
        <w:pStyle w:val="Heading2"/>
      </w:pPr>
      <w:r>
        <w:t>Regeste</w:t>
      </w:r>
    </w:p>
    <w:p>
      <w:r>
        <w:t>OBLIGATION D'ENTRETIEN, ENFANT, RÉTROACTIVITÉ, PROTECTION DE L'UNION CONJUGALE, MODIFICATION DES CIRCONSTANCES | 173 al. 3 CC, 173 CC, 179 al. 1 CC, 179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et les réf. citées).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115, sp. pp. 136-137; Jeandin, op. cit., n. 5 ad art. 296 CPC et les réf. citées), à tout le moins lorsque le juge de première instance a violé la maxime inquisitoire illimitée (JT 2011 III 43 et les réf. citées). c) En l'espèce, dès lors que le couple a deux enfants mineurs, le litige est régi par la maxime inquisitoire illimitée de l'art. 296 CPC (Hohl, Procédure civile, tome II, 2 e éd., Berne 2010, nn. 1166 ss et 2414 ss). Il n'est pas insoutenable d'appliquer strictement l'art. 317 CPC dans tous les litiges auxquels s'applique la maxime inquisitoire, même concernant des contributions d'entretien envers les enfants (TF 5A_342/2013 du 27 septembre 2013 c. 4.1.2). Les pièces produites par les parties ont ainsi été prises en compte dans la mesure de leur utilité pour l’examen de la cause. S'agissant de la requête de l'intimée tendant à ce que la pièce 59 soit produite directement par [...], elle est rejetée, dès lors que les éléments produits par l'appelant sont suffisants à cet égard.</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les réf. citées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b)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w:t>
      </w:r>
    </w:p>
    <w:p>
      <w:r>
        <w:rPr>
          <w:b/>
        </w:rPr>
        <w:t>E. 4</w:t>
      </w:r>
    </w:p>
    <w:p>
      <w:r>
        <w:t>a) L’appelant reproche d'abord au premier juge d'avoir modifié l'attribution de la jouissance du chalet de [...]. Il estime que les conditions de l'art. 179 al. 1 CC ne sont pas réalisées, aucun fait nouveau ne justifiant la modification de la convention de mesures protectrices de l'union conjugale à cet égard. Selon l'appelant, l'attribution exclusive de la garde des enfants à l'intimée ne change rien pour ce qui est de la jouissance du chalet. b) Le juge des mesures protectrices peut statuer sur l'attribution d'un logement de vacances. Sont alors pertinents principalement les intérêts affectifs, par exemple le caractère étroit de la relation avec le logement, le temps durant lequel l'époux peut l'utiliser ou la possibilité pour un époux d'en assurer l'entretien effectif. Lorsque la balance des intérêts ne donne aucun résultat clair, le juge doit alors tenir compte du statut juridique de l'immeuble et l'attribuer à celui des époux qui en est le propriétaire ou qui bénéficie d'autres droits d'usage sur celui-ci. En revanche, un éventuel droit à l'attribution au sens de l'art. 205 al. 2 CC dans la liquidation reste sans pertinence. Une attribution alternée dans le temps peut souvent se justifier (TF 5A_198/2012 du 24 août 2012 c. 6.3.2 et 6.3.3). c) En l'espèce, les parties ont prévu, lors de la signature de la convention du 4 juillet 2013, que la jouissance de leur résidence secondaire à [...] serait attribuée à l'appelant, à charge pour lui d'en assumer les frais courants. Cette convention a été ratifiée séance tenante pour valoir prononcé de mesures protectrices de l'union conjugale. Par requête du 24 mars 2014, l'intimée a requis d'être autorisée à se rendre dans le chalet de [...] deux semaines sur quatre, dont la moitié des vacances scolaires, en indiquant être disposée à partager les charges. Dans cet acte, l'intéressée s'est bornée à exposer qu'elle souhaitait désormais pouvoir également profiter de ce bien, à égalité avec A.H.________. Elle n'a fait valoir aucun argument en relation avec l'attribution de la garde des enfants, qui était à ce moment-là partagée entre les parents et non contestée. Le premier juge a considéré que le changement de droit de garde des enfants justifiait à lui seul une modification de l'utilisation de la résidence secondaire des parties dont elles étaient copropriétaires. Toutefois, lorsque l'intimée a pris ses conclusions en modification de la convention de mesures protectrices de l'union conjugale, la garde des enfants était encore partagée et aucun changement n'avait alors été requis. Or, selon la jurisprudence précitée, le moment déterminant pour apprécier si des circonstances nouvelles se sont produites est la date du dépôt de la demande de modification des mesures protectrices. Il apparaît ainsi que l'intimée a simplement changé d'avis et qu'elle a souhaité également pouvoir profiter du chalet. Au vu de ce qui précède, les conditions de l'art. 179 al. 1 CC ne sont pas réalisées en l'espèce. Au demeurant, l'attribution de la garde des enfants n'est pas un critère pertinent pour déterminer la jouissance d'un domicile secondaire, la jurisprudence citant à cet égard d'autres éléments déterminants tels que les intérêts affectifs, le caractère étroit de la relation avec le logement, le temps durant lequel l'époux peut l'utiliser ou la possibilité pour un époux d'en assurer l'entretien effectif, ce que l'intimée n'a aucunement invoqué. Au surplus, même si la garde des enfants a été confiée à l'intimée, ceux-ci auront tout le loisir de se rendre au chalet lors de l'exercice du droit de visite de leur père. Au final et contrairement à ce qu'a retenu le premier juge, il n'existait aucun changement notable ou durable au sens de l'art. 179 al. 1 CC justifiant que la jouissance du chalet de [...] soit modifiée. Le grief de l'appelant doit donc être admis et le chiffre XII du dispositif de l'ordonnance attaquée supprimé.</w:t>
      </w:r>
    </w:p>
    <w:p>
      <w:r>
        <w:rPr>
          <w:b/>
        </w:rPr>
        <w:t>E. 5</w:t>
      </w:r>
    </w:p>
    <w:p>
      <w:r>
        <w:t>a) L'appelant fait également grief au premier juge de l'avoir astreint à verser une contribution à l'intimée pour l'entretien de ses fils C.H.________ et D.H.________ du 1 er août 2013 au 30 juin 2014. Il soutient que lors de l'audience du 4 juillet 2013, le témoin X.________, assureur indépendant, a expressément mentionné qu'il avait déposé une demande AI et que celle-ci était en cours. Ainsi, l'intimée était au courant qu'une décision de l'assurance invalidité pouvait être rendue et, partant, que des rentes pouvaient être servies en faveur des enfants par l'AI et la caisse de pension. Dans ces circonstances, les conditions de l'art. 179 al. 1 CC ne seraient pas réalisées. En outre, l'appelant se prévaut des termes de la convention du 4 juillet 2013, estimant que son épouse a renoncé de façon définitive au versement d'une contribution d'entretien pour les enfants, ce jusqu'au 30 juin 2014, en raison de sa situation financière qui était des plus incertaines. A titre subsidiaire, l'appelant se prévaut de l'art. 173 al. 3 CC, qui prévoit la possibilité de réclamer des contributions d'entretien avec effet rétroactif pour l'année qui précède l'introduction de la requête. Ainsi, il considère que ce n'est que le 22 octobre 2014 que l'intimée a pris des conclusions avec effet rétroactif au 1 er août 2013, alors qu'elle ne pouvait prétendre à l'effet rétroactif qu'à compter du 1 er novembre 2013. b) L'art. 179 CC permet à chaque époux de solliciter la modification des mesures protectrices de l’union conjugale si, depuis l’entrée en vigueur de celles-ci, les circonstances ont changé d’une manière essentielle et durable (Chaix, op. cit., n. 11 ad art. 173 CC et n. 4 ad art. 179 CC) ou lorsque le juge a ignoré des éléments essentiels ou a mal apprécié les circonstances d'une manière caractérisée (Chaix, op. cit., n. 5 ad art. 179 CC). Une telle modification déploie ses effets pour l’avenir et prend en principe effet au jour de l’entrée en force de la nouvelle décision ; si les circonstances le justifient, le juge a le pouvoir d’accorder un effet rétroactif aux nouvelles mesures ; cet effet ne peut en principe remonter à une date antérieure à celle du dépôt de la demande de modification et il n’est accordé qu’en présence de circonstances concrètes qui imposent une telle solution (Chaix, op. cit., n. 6 ad art. 179 CC et les références citées; Juge délégué CACI 7 juin 2011/107; Juge délégué CACI 1 er juillet 2011/141). Dans le cadre d'une requête en modification, une rétroactivité de l'obligation d'entretien n'est concevable que jusqu'à la date du dépôt de la requête, mais non pour l'année qui la précède (De Luze, Page et Stoudmann, op. cit., n. 1.7 ad art. 179 al. 1 CC et les réf. citées). Ainsi, 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 6.2., in RSPC 2011 p. 315). Tel peut être le cas en cas de domicile inconnu ou d'absence de longue durée de la partie défenderesse, de comportement contraire à la bonne foi d'une partie ou de maladie grave de la partie requérante (TF 5A_597/2013 du 4 mars 2014 c. 3.1, FamPra.ch 2014 p. 725). Si l'on sait, au moment de la signature d'une convention portant sur des mesures provisionnelles, que l'ayant droit est incapable de travailler à 100% et qu'une amélioration de son état de santé n'est pas envisagée, mais qu'aucune réserve n'est formulée pour le cas où un revenu de remplacement serait versé, il y a lieu de considérer que la possibilité d'une rente future a déjà été prise en compte lors de la fixation de l'entretien. Une rétroactivité à une date antérieure au dépôt de la requête de modification n'est dès lors pas justifiée (TF 5A_597/2013 du 4 mars 2014, FamPra.ch 2014 p. 725). c) En l'espèce, il est établi que A.H.________ est en incapacité complète de travail depuis le mois d'avril 2012. Il est vrai que dans une correspondance du 16 avril 2013, la [...] a indiqué à l'appelant que son état de santé actuel lui permettait de s'engager vers des démarches de reprise d’emploi. Toutefois, c'était avant les événements de la fin du mois d'avril 2013, lors desquels l'état psychique de l'intéressé s'est dégradé au point qu'il a dû être hospitalisé durant près de deux mois, soit du 29 avril au 21 juin 2013. Lors de l'audience de mesures protectrices de l'union conjugale du 4 juillet 2013, l'appelant était toujours en incapacité complète de travail et il n'était absolument pas envisagé qu'il reprenne une activité. Le témoin X.________ a d'ailleurs précisé, lors de l'audience précitée, qu'une demande AI était en cours, et que si celle-ci n'aboutissait pas, l'appelant envisageait de demander une rente de retraite anticipée. L'intimée ne conteste pas avoir su que son époux avait déposé une demande AI lorsque les parties ont signé la convention. Elle ne conteste pas plus le fait que A.H.________ était incapable de travailler à 100 % depuis plus d'une année et qu'une amélioration de son état de santé n'était alors pas envisagée. Elle soutient uniquement qu'elle n'était, lors de la signature de la convention, pas au courant de la décision de l'assurance invalidité, qui est intervenue à la fin de l'année 2013. Or, l'intimée ne pouvait ignorer lors de la signature de la convention, considérant la procédure AI en cours, la possibilité que l'appelant se voie reconnaître le droit à une rente. D'ailleurs, on ne peut que constater que les parties n'ont pas introduit dans leur convention de clause réservant le cas où l'appelant recevrait des revenus de remplacement. Dès lors, conformément à la jurisprudence susmentionnée, il y a lieu de considérer que la possibilité d'une rente future avait déjà été prise en compte par les parties lorsqu'elles ont renoncé conventionnellement à toute autre contribution d'entretien jusqu’au 30 juin 2014. Partant et contrairement à ce qu'a retenu le premier juge, les conditions de l'art. 179 al. 1 CC n'étaient pas remplies et il ne se justifiait pas de revoir le montant de la contribution pour la période du 1 er août 2013 au 30 juin 2014, les parties ayant renoncé valablement et en toute connaissance de cause à une contribution d'entretien jusqu'au 30 juin 2014. A cet égard, le premier juge a considéré que l'intimée n’avait pas renoncé à toute autre contribution jusqu’au 30 juin 2014 s’agissant de la contribution due par l'appelant pour l’entretien des enfants mais qu'elle avait tout au plus renoncé à toute autre contribution d'entretien s’agissant de la contribution de 35'000 fr. prévue pour elle-même. On ne peut néanmoins suivre ce raisonnement. En effet, s'il est exact que les parties ont indiqué, sous chiffre V de la convention en question, qui concernait la contribution d'entretien pour l'intimée, qu'elles renonçaient à "toute autre contribution jusqu'au 30 juin 2014, indépendamment de toute modification des revenus de chacun", il faut interpréter cette renonciation à la lumière du chiffre IV de cette même convention, qui prévoyait précisément qu'aucune contribution d’entretien ne serait due de part ou d’autre pour les enfants, étant précisé que chaque partie verserait 22'500 fr. sur un compte commun afin d'assurer l'entretien des enfants jusqu'au 30 juin 2014. Ainsi, les parties avaient bien la volonté de suspendre toutes les contributions d'entretien jusqu'à cette date. L'intimée n'a d'ailleurs jamais prétendu, dans l'une ou l'autre de ses écritures, que cette renonciation conventionnelle à toute autre contribution d'entretien ne concernait que la contribution due pour son propre entretien et non pas celle due pour l'entretien des enfants. Par surabondance, même si l'on devait considérer que les conditions de l'art. 179 al. 1 CC étaient réalisées, il ne se justifierait pas d'octroyer l'effet rétroactif d'une année de l'art. 173 al. 3 CC à la requête de modification de la contribution d'entretien. En effet, comme on l'a vu sous c. b) supra , dans le cadre d'une requête en modification de mesures protectrices de l'union conjugale, une rétroactivité de l'obligation d'entretien n'est concevable que jusqu'à la date du dépôt de la requête, mais non pour l'année qui la précède. Seules des circonstances très exceptionnelles peuvent amener le juge à retenir une date antérieure au dépôt de la requête, soit notamment le domicile inconnu ou une absence de longue durée de la partie défenderesse, un comportement contraire à la bonne foi d'une partie ou une maladie grave de la partie requérante. En l'espèce, l'intimée n'a fait valoir aucune circonstance exceptionnelle justifiant que l'on accorde à la contribution un effet rétroactif antérieur au dépôt de sa requête, soit le 22 octobre 2014. Au final, la contribution mensuelle de 4'058 fr. due pour la période du 1 er août 2013 au 30 juin 2014, prévue au chiffre VII du dispositif de l'ordonnance entreprise, doit être supprimée. La suppression de cette contribution entraîne également celle du chiffre VIII du dispositif prévoyant que l'intimée pourra récupérer dans le cadre de la liquidation du régime matrimonial la somme de 22'500 fr. versée en exécution du chiffre IV de la convention du 4 juillet 2013.</w:t>
      </w:r>
    </w:p>
    <w:p>
      <w:r>
        <w:rPr>
          <w:b/>
        </w:rPr>
        <w:t>E. 6</w:t>
      </w:r>
    </w:p>
    <w:p>
      <w:r>
        <w:t>a) En définitive, l'appel est admis et l'ordonnance entreprise est réformée en ce sens que les chiffres VII, VIII et XII de son dispositif sont supprimés. Sur le vu de ce qui précède, il y a également lieu de revoir la décision du premier juge relative aux dépens. A cet égard, l'appelant obtient gain de cause en ce qui concerne la jouissance du chalet de [...] et le principe des contributions d'entretien dues pour la période du 1 er août 2013 au 30 juin 2014. L'intimée obtient quant à elle gain de cause s'agissant de la garde de C.H.________ et du principe des contributions d'entretien dues dès le 1 er juillet 2014, les sommes allouées étant inférieures à celles réclamées. Partant, il y a lieu de compenser les dépens, le chiffre XIV du dispositif de l'ordonnance attaquée étant réformé en ce sens. b) Les frais judiciaires de deuxième instance, arrêtés à 3'500 fr. (art. 63 al. 3 TFJC [tarif des frais judiciaires civils du 28 septembre 2010, RSV 270.11.5]), sont mis à la charge de l'intimée, qui succombe (art. 106 al. 1 CPC). L’intimée versera ainsi à l’appelant la somme de 3'500 fr. à titre de restitution de l’avance de frais fournie par ce dernier (art. 111 al. 2 CPC). c) La charge des dépens est évaluée à 2'000 fr. pour chaque partie, de sorte que, compte tenu de ce que les frais – comprenant les frais judiciaires et les dépens (art. 95 al. 1 CPC) – doivent être mis à la charge de l’intimée, celle-ci versera à l’appelant la somme de 5'500 fr. à titre de dépens et de restitution d'avance de frais de deuxième instance. Par ces motifs, la Juge déléguée de la Cour d’appel civile du Tribunal cantonal, prononce : I. L’appel est admis. II. L'ordonnance est réformée comme suit aux chiffres VII, VIII, XII et XIV de son dispositif : "VII. [supprimé] VIII. [supprimé] XII. [supprimé] XIV. dit que les dépens sont compensés." L'ordonnance est confirmée pour le surplus. III. Les frais judiciaires de deuxième instance, arrêtés à 3'500 fr. (trois mille cinq cents francs), sont mis à la charge de l’intimée B.H.________. IV. L’intimée B.H.________ doit verser à l’appelant A.H.________ la somme de 5’500 fr. (cinq mille cinq cents francs) à titre de dépens et de restitution d’avance de frais de deuxième instance. V. L'arrêt est exécutoire. La Juge déléguée : La greffière : Du L'arrêt qui précède, dont la rédaction a été approuvée à huis clos, est notifié à : ‑ Me Cédric Thaler (pour A.H.________), ‑ Me Mireille Loroch (pour B.H.________).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