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 vom 22. Januar 2015</w:t>
      </w:r>
    </w:p>
    <w:p>
      <w:r>
        <w:t>VD Tribunal cantonal, 2015-01-22, FR</w:t>
      </w:r>
    </w:p>
    <w:p>
      <w:r>
        <w:rPr>
          <w:b/>
        </w:rPr>
        <w:t xml:space="preserve">Quelle: </w:t>
      </w:r>
      <w:r>
        <w:t>https://mcp.opencaselaw.ch/entscheid/vd_findinfo_HC___2015___35</w:t>
      </w:r>
    </w:p>
    <w:p>
      <w:r>
        <w:t>FR: VD_FINDINFO HC / 2015 / 35 du 22 janvier 2015</w:t>
      </w:r>
    </w:p>
    <w:p>
      <w:r>
        <w:t>IT: VD_FINDINFO HC / 2015 / 35 del 22 gennaio 2015</w:t>
      </w:r>
    </w:p>
    <w:p>
      <w:pPr>
        <w:pStyle w:val="Heading2"/>
      </w:pPr>
      <w:r>
        <w:t>Regeste</w:t>
      </w:r>
    </w:p>
    <w:p>
      <w:r>
        <w:t>ACTION EN MODIFICATION, MESURE PROVISIONNELLE, JUGEMENT DE DIVORCE, OBLIGATION D'ENTRETIEN, ENFANT | 134 al. 2 CC, 286 CC</w:t>
      </w:r>
    </w:p>
    <w:p>
      <w:pPr>
        <w:pStyle w:val="Heading2"/>
      </w:pPr>
      <w:r>
        <w:t>Erwägungen</w:t>
      </w:r>
    </w:p>
    <w:p>
      <w:r>
        <w:rPr>
          <w:b/>
        </w:rPr>
        <w:t>E. 1</w:t>
      </w:r>
    </w:p>
    <w:p>
      <w:r>
        <w:t>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Un membre de la Cour d’appel civile statue comme juge unique sur les appels formés contre les décisions sur mesures provisionnelles (art. 84 al. 2 LOJV [Loi d'organisation judiciaire du 12 décembre 1979 ; RS 173.01]). Les ordonnances de mesures provisionnelles étant régies par la procédure sommaire (art. 248 let. d CPC), le délai pour l'introduction de l’appel est de dix jours (art. 314 al. 1 CPC). En l’espèce, formé en temps utile par une partie qui y a intérêt (art. 59 al. 2 let. a CPC) et portant sur une cause dont la valeur litigieuse capitalisée selon l’art. 92 CPC est supérieure à 10'000 fr., le présent appel est recevable en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3</w:t>
      </w:r>
    </w:p>
    <w:p>
      <w:r>
        <w:t>a) L’appelante soutient que son revenu hypothétique, établi selon le premier juge à 5'300 fr., devrait être arrêté à 3'500 fr. au maximum. S’agissant de son loyer, ce n’est pas un montant de 1'000 fr. qui devrait être retenu mais un montant de 1'416 francs. Il y aurait en outre lieu de prendre en compte un montant de 150 fr., correspondant à l’exercice du droit de visite. Enfin, pour l’appelante, le premier juge aurait dû prendre en compte les revenus réalisés par ses fils C.A.________ et B.A.________, ceux-ci s’élevant respectivement à 1'300 fr. brut par mois et à 120 fr. par mois. b)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écnonomique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 3b ; ATF 89 II 12). Cette jurisprudence a été confirmée sous l’empire du CPC fédéral, applicable depuis le 1 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 En l’espèce, l’appelante soutient que les conditions d’une modification du jugement de divorce se sont présentées depuis le moment où elle a choisi d’exploiter à titre indépendant un centre de bien-être, soit depuis le 1 er février 2013, dès lors que ce changement aurait engendré une baisse de ses revenus. Pourtant, ce n’est que plus de quinze mois après le début de cette activité, soit le 3 juillet 2014, qu’elle a requis, à titre provisionnel avec effet au 1 er juin 2014, la modification du jugement de divorce et une diminution des contributions d’entretien servies à ses fils. L’important laps de temps qui s’est écoulé entre ces deux événements laisse présager du fait que l’appelante est en mesure de s’accommoder, jusqu'à droit connu sur son action en modification du jugement de divorce, du montant des contributions d’entretien fixées par jugement du 16 janvier 2012, et ce malgré la baisse alléguée de ses revenus depuis le 1 er février 2013. Dans ces circonstances, l’appelante n’a pas rendu vraisemblable que la condition d’urgence posée par la loi et par la jurisprudence pour l’obtention de mesures provisionnelles dans le cadre d’une action en modification du jugement de divorce soit remplie en l’espèce. Pour ce motif déjà, l’appel doit être rejeté. On ajoutera que la diminution des ressources de l’appelante résultent d’une décision délibérée de sa part. C’est ainsi à juste titre que le premier juge a retenu que l’appelante a délibérément choisi d’abandonner sa profession d’infirmière auprès de l’ [...] au profit d’une activité indépendante dans le monde du fitness et du bien-être, sans que cela ne soit remis en cause par l’appelante.</w:t>
      </w:r>
    </w:p>
    <w:p>
      <w:r>
        <w:rPr>
          <w:b/>
        </w:rPr>
        <w:t>E. 4</w:t>
      </w:r>
    </w:p>
    <w:p>
      <w:r>
        <w:t>L’appel doit dès lors être rejeté, sans qu’il n’y ait lieu d’examiner plus avant les moyens exposés par l’appelante, et l’ordonnance confirmée. La requête d’assistance judiciaire formée par l’appelante est admise, dès lors que les conditions fixées par l’art. 117 CPC sont remplies. Le bénéfice de l’assistance judiciaire lui sera octroyé dans la mesure d’une exonération des frais judiciaires et de la désignation d’un défenseur d’office en la personne de Me Gilles Monnier, l’appelante étant astreinte au paiement d’une franchise mensuelle de 50 fr. par mois dès le 1 er février 2015, à verser auprès du Service juridique et législatif, à Lausanne. En sa qualité de défenseur d’office, l’avocat Gilles Monnier a produit une liste d’opérations faisant état de six heures et trente-six minutes de temps consacré au dossier. Cette liste n’indique toutefois pas le détail du temps consacré à chaque opération. Il sera ainsi tenu compte de cinq heures de travail pour la procédure d’appel et la rédaction du mémoire d’appel, dès lors que celui-ci ne comporte que six pages (page de garde et conclusions comprises) et que Me Monnier était déjà conseil de l’appelante en première instance. Quant aux débours, par 72 fr. 95, TVA comprise, ils peuvent être admis. Au tarif horaire de 180 fr. (art. 2 al. 1 let. a RAJ [règlement du 7 décembre 2010 sur l’assistance judiciaire en matière civile ; RSV 211.02.3]), l’indemnité d’office due à Me Monnier doit ainsi être arrêtée à 900 fr., plus 72 fr. de TVA et 72 fr. 95, TVA comprise, pour ses débours, soit une indemnité totale de 1'044 fr. 95, arrondie à 1'045 francs. L’appelante plaidant au bénéfice de l’assistance judiciaire, les frais judiciaires de deuxième instance, fixés à 600 fr. (art. 63 al. 1 TFJC [tarif des frais judiciaires civils du 28 septembre 2010 ; RSV 270.11.5] ; art. 122 al. 1 let. b CPC), sont laissés à la charge de l’Etat. La bénéficiaire de l’assistance est, dans la mesure de l’art. 123 CPC, tenue au remboursement des frais judiciaires et de l’indemnité au conseil d’office mis à la charge de l’Etat. Il n’y a pas matière à l’allocation de dépens, les intimés n’ayant pas été invités à se déterminer. Par ces motifs, la Juge déléguée de la Cour d’appel civile du Tribunal cantonal, statuant à huis clos, prononce : I. L’appel est rejeté. II. L’ordonnance est confirmée. III. La requête d’assistance judiciaire de l’appelante est admise, Me Gilles Monnier étant désigné conseil d’office pour la procédure d’appel et l’appelante étant astreinte au paiement d’une franchise mensuelle de 50 fr. (cinquante francs) par mois dès le 1 er février 2015, à verser auprès du Service juridique et législatif, case postale, à 1014 Lausanne. IV. L’indemnité d’office de Me Gilles Monnier, conseil d’office de l’appelante, est arrêtée à 1’045 fr. (mille quarante-cinq francs), TVA et débours compris. V. Les frais judiciaires de deuxième instance, arrêtés pour l’appelante G.________ à 600 fr. (six cents francs), sont laissés à la charge de l’Etat. VI. La bénéficiaire de l’assistance judiciaire est, dans la mesure de l’art. 123 CPC, tenue au remboursement des frais judiciaires et de l’indemnité au conseil d’office mis à la charge de l’Etat. VII. L’arrêt est exécutoire. La juge déléguée : Le greffier : Du L'arrêt qui précède, dont la rédaction a été approuvée à huis clos, est notifié à : ‑ Me Gilles Monnier (pour G.________) ‑ Me Philippe Oguey (pour A.A.________ et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