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347 vom 27. März 2015</w:t>
      </w:r>
    </w:p>
    <w:p>
      <w:r>
        <w:t>VD Tribunal cantonal, 2015-03-27, FR</w:t>
      </w:r>
    </w:p>
    <w:p>
      <w:r>
        <w:rPr>
          <w:b/>
        </w:rPr>
        <w:t xml:space="preserve">Quelle: </w:t>
      </w:r>
      <w:r>
        <w:t>https://mcp.opencaselaw.ch/entscheid/vd_findinfo_HC___2015___347</w:t>
      </w:r>
    </w:p>
    <w:p>
      <w:r>
        <w:t>FR: VD_FINDINFO HC / 2015 / 347 du 27 mars 2015</w:t>
      </w:r>
    </w:p>
    <w:p>
      <w:r>
        <w:t>IT: VD_FINDINFO HC / 2015 / 347 del 27 marzo 2015</w:t>
      </w:r>
    </w:p>
    <w:p>
      <w:pPr>
        <w:pStyle w:val="Heading2"/>
      </w:pPr>
      <w:r>
        <w:t>Regeste</w:t>
      </w:r>
    </w:p>
    <w:p>
      <w:r>
        <w:t>PROTECTION DE L'UNION CONJUGALE | 176 al. 1 ch. 2 CC</w:t>
      </w:r>
    </w:p>
    <w:p>
      <w:pPr>
        <w:pStyle w:val="Heading2"/>
      </w:pPr>
      <w:r>
        <w:t>Erwägungen</w:t>
      </w:r>
    </w:p>
    <w:p>
      <w:r>
        <w:rPr>
          <w:b/>
        </w:rPr>
        <w:t>E. 1</w:t>
      </w:r>
    </w:p>
    <w:p>
      <w:r>
        <w:t>a) L’appel est recevable contre les mesures protectrices de l’union conjugale (Tappy, CPC Commenté, n. 51 ad art. 273 CPC; ATF 133 III 393), dans les causes non patrimoniales ou dont la valeur litigieuse au dernier état des conclusions devant l’autorité inférieure est supérieure à 10’000 fr. (art. 308 al. 2 CPC). Les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S’agissant d’une décision portant sur des conclusions non patrimoniales (Tappy, ibidem) et formé en temps utile par une partie qui y a intérêt, le présent appel est recevable.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basé des preuves administrées en première instance. Le large pouvoir d’examen en fait et en droit ainsi défini s’applique même si la décision attaquée est de nature provisionnelle (JT 2011 III 43). Le pouvoir d’examen se limite toutefois à la simple vraisemblance des faits et à un examen sommaire du droit (TF 5A_557/2013 du 23 décembre 2013). c) Les conclusions ne peuvent être modifiées en appel que si les conditions fixées à l’art. 227 aI. 1 CPC sont remplies et, cumulativement, que la modification repose sur des faits ou des moyens de preuve nouveaux (art. 317 al. 2 CPC). En l’espèce, la conclusion principale n’est pas nouvelle, quand bien même la conclusion subsidiaire l’est. Elle ne constitue toutefois qu’une conclusion moins ample que la conclusion principale, de sorte qu’elle est également recevable. La requête d’appel répond ainsi aux réquisits légaux.</w:t>
      </w:r>
    </w:p>
    <w:p>
      <w:r>
        <w:rPr>
          <w:b/>
        </w:rPr>
        <w:t>E. 2</w:t>
      </w:r>
    </w:p>
    <w:p>
      <w:r>
        <w:t>a) L’appelant soutient que le premier juge a fait une mauvaise application de la loi en retenant que le logement conjugal devait être attribué à l’épouse plutôt qu’à l’époux; il s’appuie notamment sur ses activités politiques communales pour contester cette décision. Subsidiairement, il retient qu’un délai de six mois, et non de deux mois seulement, devait lui être accordé pour quitter le logement. b) L’article 176 al. 1 ch. 2 CC (Code civil suisse du 10 décembre 1907 ; RS 210) prévoit qu’à la requête de l’un des époux et si la suspension de la vie commune est fondée, le juge prend les mesures nécessaires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5A_132/2013 et 5A_133/2013 du 24 mai 2013 c. 4.2.1 ; TF 5A_575/2011 du 12 octobre 2011 c. 5.1).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5A_291/2013 du 27 janvier 2014 c.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(TF 5A_298/2014 du 24 juillet 2014 c. 3.3.2). En principe, le délai pour quitter le domicile conjugal devrait être d’une à quatre semaines pour permettre à l’époux concerné de déménager (Chaix, Commentaire romand, Code civil I, n. 13 ad art. 176 CC ; Hausherr/Reusser/Geiser, Berner Kommentar, n. 29 ad art. 176 CC ; Vetterli, FamKomm. Scheidung, 2 e éd., n. 18 ad art. 176 CC). c) En l’espèce, il paraît opportun de rappeler en préambule qu’en cas de séparation d’un couple, il est nécessaire de prévoir le départ soit de l’un soit de l’autre conjoint, tous deux ne pouvant rester dans le logement conjugal. Ensuite, il s’agit de procéder à une pesée des intérêts, s’appuyant sur des circonstances concrètes. Enfin, le critère de l’utilité est le premier critère à retenir, mais, si le résultat n’est pas clair, il y a lieu d’examiner ce qu’il en est des autres circonstances. Pour l’appelant, le premier juge s’est écarté à tort du critère de l’utilité, puisque A.I.________ exerce une activité de conseiller communal auprès de la Commune de [...], pièces produites en appel à l’appui. Or, l’article 97 al. 1 de la loi vaudoise sur les communes sur 28 février 1956 (RSV 175.11) prescrit que les membres des conseils communaux notamment doivent avoir et conserver leur domicile légal dans la commune où ils exercent leur fonction. L’article</w:t>
      </w:r>
    </w:p>
    <w:p>
      <w:r>
        <w:rPr>
          <w:b/>
        </w:rPr>
        <w:t>E. 3</w:t>
      </w:r>
    </w:p>
    <w:p>
      <w:r>
        <w:t>En définitive, l’appel doit être rejeté, en application de l’art. 322 al. 1 CPC, et le prononcé entrepris confirmé. Les frais judiciaires de deuxième instance, arrêtés à 600 fr. (art. 65 al. 2 TFJC [tarif des frais judiciaires civils du 28 septembre 2010 ; RSV 270.11.5]), sont mis à la charge de l’appelant qui succombe (art. 106 al. 1 CPC). Il n’y a pas lieu à l’allocation de dépens dès lors que l’intimée n’a pas été invitée à se déterminer sur l’appel. Par ces motifs, le Juge délégué de la Cour d’appel civile du Tribunal cantonal, statuant en application de l'art. 312 al. 1 CPC, prononce : I. L’appel est rejeté. II. Le prononcé est confirmé. III. Les frais judiciaires de deuxième instance, arrêtés à 600 fr. (six cents francs), sont mis à la charge de l’appelant A.I.________. IV. L’arrêt motivé est exécutoire. Le juge délégué : La greffière : Du 30 mars 2015 Le dispositif de l'arrêt qui précède est communiqué par écrit aux intéressés. La greffière : Du L'arrêt qui précède, dont la rédaction a été approuvée à huis clos, est notifié en expédition complète, par l'envoi de photocopies, à : ‑ Me Marie-Laure Oppliger Mattenberger (pour A.I.________), ‑ Me Patricia Michellod (pour B.I.________). Le Juge délégué de la Cour d’appel civile considère qu’il s’agit d’une cause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