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 vom 3. Dezember 2014</w:t>
      </w:r>
    </w:p>
    <w:p>
      <w:r>
        <w:t>VD Tribunal cantonal, 2014-12-03, FR</w:t>
      </w:r>
    </w:p>
    <w:p>
      <w:r>
        <w:rPr>
          <w:b/>
        </w:rPr>
        <w:t xml:space="preserve">Quelle: </w:t>
      </w:r>
      <w:r>
        <w:t>https://mcp.opencaselaw.ch/entscheid/vd_findinfo_HC___2015___34</w:t>
      </w:r>
    </w:p>
    <w:p>
      <w:r>
        <w:t>FR: VD_FINDINFO HC / 2015 / 34 du 3 décembre 2014</w:t>
      </w:r>
    </w:p>
    <w:p>
      <w:r>
        <w:t>IT: VD_FINDINFO HC / 2015 / 34 del 3 dicembre 2014</w:t>
      </w:r>
    </w:p>
    <w:p>
      <w:pPr>
        <w:pStyle w:val="Heading2"/>
      </w:pPr>
      <w:r>
        <w:t>Regeste</w:t>
      </w:r>
    </w:p>
    <w:p>
      <w:r>
        <w:t>DROIT DE GARDE, PROTECTION DE L'UNION CONJUGALE, ENFANT | 176 al. 3 CC, 273 al.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suisse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dès lors que l’objet principal de l’appel porte sur l’attribution du droit de garde de l’enfant du couple, on retiendra que la cause ne revêt pas un caractère patrimonial, l’appelant indiquant en effet que la contribution due pour l’entretien de son épouse n’est pas contestée dans son principe et concluant à un nouveau calcul de cette contribution dans l’hypothèse où le droit de garde lui serait attribué. Formé en temps utile par une partie qui y a intérêt (art. 59 al. 2 let. b CPC) et dûment motivé (art. 311 al. 1 CPC), l’appel est ainsi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2.2</w:t>
      </w:r>
    </w:p>
    <w:p>
      <w:r>
        <w:t>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op. cit. n. 1901 et les réf. citées).</w:t>
      </w:r>
    </w:p>
    <w:p>
      <w:r>
        <w:rPr>
          <w:b/>
        </w:rPr>
        <w:t>E. 3.1</w:t>
      </w:r>
    </w:p>
    <w:p>
      <w:r>
        <w:t>L’appelant soutient que la garde de l’enfant devrait lui être attribuée. Il indique, comme en première instance, qu’il est à la retraite et qu’il dispose ainsi du temps nécessaire pour s’occuper de l’enfant, qu’il parle le français comme sa fille, alors que c’est n’est pas le cas de son épouse, qu’il est donc mieux à même de s’occuper du suivi scolaire de l’enfant et que l’intimée s’est déjà absentée pour de longues périodes dans le passé, de sorte qu’il a prouvé dans les faits sa capacité à s’occuper seul de sa fille. A l’inverse, son épouse aurait des problèmes de santé et aurait de toute manière déjà accepté dans le cadre d’une convention sur les effets accessoire du divorce que la garde l’enfant lui soit attribuée. Il en conclut que l’intérêt de l’enfant est donc d’avoir son père comme gardien, un droit de visite devant être fixé à sa mère.</w:t>
      </w:r>
    </w:p>
    <w:p>
      <w:r>
        <w:rPr>
          <w:b/>
        </w:rPr>
        <w:t>E. 3.2</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L’octroi de la garde dans le cadre des mesures protectrices est soumis aux principes posés par la jurisprudence et la doctrine en matière de divorce, qui sont applicables par analogie (Bräm, in Zürcher Kommentar, 2 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 ATF 115 Il 317 c. 2 ; FamPra.ch 2006, n. 20, p. 193 ; FamPra.ch 2008, n. 104, p. 981).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cf. aussi TF 5A_181/2008 du 25 avril 2008, FamPra.ch 4/2008 n. 104 p. 98 ; TF 5C.238/2005 du 2 novembre 2005, FamPra.ch 2006 n. 20 p. 193).</w:t>
      </w:r>
    </w:p>
    <w:p>
      <w:r>
        <w:rPr>
          <w:b/>
        </w:rPr>
        <w:t>E. 3.3</w:t>
      </w:r>
    </w:p>
    <w:p>
      <w:r>
        <w:t>Contrairement à ce que soutient l’appelant, le premier juge n’a ignoré aucune des circonstances alléguées pour l’attribution de la garde. Il est au demeurant téméraire de prétendre, comme dans l’appel, que le juge a pris sa décision à ce sujet « sans en énoncer les raisons ». Le premier juge a d’abord relevé que les deux parents alléguaient des thèses opposées visant à dénier à l’autre parent les capacités parentales nécessaires à obtenir la garde. Les griefs de l’appelant reviennent, pour l’essentiel, à reprendre cette thèse en appel pour se prétendre le seul parent capable de s’occuper de l’enfant. Ainsi l’appelant met en avant sa disponibilité et ses aptitudes à suivre scolairement l’enfant, mais passe sous silence la violence dont il a fait preuve envers sa fille et qui est documentée par les pièces 5, 5bis et 6 du bordereau de la requérante du 29 août 2014. Ces faits ont entraîné l’établissement d’un certificat médical, que l’appelant ne conteste pas. Le premier juge a ensuite considéré qu’au-delà des accusations réciproques des parents, il devait prendre en considération les éléments objectifs figurant au dossier, soit les pièces citées ci-dessus. Cette appréciation est adéquate et peut être confirmée. La violence dont a fait preuve l’appelant est préoccupante, même s’il s’agit d’un épisode isolé. En l’état, l’intérêt de l’enfant commande d’attribuer la garde à la mère, aucun des reproches adressés quant à ses compétences parentales n’étant suffisant pour contrebalancer le constat fait par le premier juge. En particulier, s’agissant du suivi scolaire, il existe nombre de structures qui permettent à l’enfant d’obtenir une aide, pour le cas où la mère ne pourrait pas la fournir. Au demeurant, rien n’indique dans le dossier que l’enfant aurait des difficultés dans ce domaine. Enfin, le premier juge a mis en œuvre le Service de protection de la jeunesse pour l’évaluation des conditions d’existence de l’enfant et des capacités éducatives des parents. Une décision pourra être rendue en cas de faits nouveaux. Le grief de l’appelant doit ainsi être rejeté.</w:t>
      </w:r>
    </w:p>
    <w:p>
      <w:r>
        <w:rPr>
          <w:b/>
        </w:rPr>
        <w:t>E. 3.4</w:t>
      </w:r>
    </w:p>
    <w:p>
      <w:r>
        <w:t>L’appelant, qui ne conteste pas dans son principe la contribution d’entretien mise à sa charge, conclut à une diminution de cette contribution pour le cas où la garde lui serait confiée. Il ne formule aucun grief s’agissant des chiffres retenus par le premier juge, la diminution de la pension n’étant justifiée que par l’attribution de la garde de l’enfant au père. Dès lors que la garde de l’enfant n’a pas été confiée à l’appelant, il n’y a pas lieu de réexaminer la question de la contribution d’entretien. Il s’ensuit que ce moyen de l’appelant doit être rejeté.</w:t>
      </w:r>
    </w:p>
    <w:p>
      <w:r>
        <w:rPr>
          <w:b/>
        </w:rPr>
        <w:t>E. 4</w:t>
      </w:r>
    </w:p>
    <w:p>
      <w:r>
        <w:t>En conséquence, l’appel, manifestement infondé, doit être rejeté selon le mode procédural de l’art. 312 al. 1 CPC et l’ordonnance de mesures protectrices de l’union conjugale du 3 novembre 2014 confirmée. Les frais judiciaires de deuxième instance, arrêtés à 1’200 fr. (art. 65 al. 2 et al. 4 TFJC [tarif des frais judiciaires civils du 28 septembre 2010 ; RSV 270.11.5]) sont mis à la charge de l’appelant qui succombe (art. 106 al. 1 CPC). Il n’y a pas lieu à l’allocation de dépens de deuxième instance, l’intimée n’ayant pas été invitée à se déterminer. Par ces motifs, le juge délégué de la Cour d’appel civile du Tribunal cantonal, statuant à huis clos, prononce : I. L’appel est rejeté. II. L’ordonnance est confirmée. III. Les frais judiciaires de deuxième instance, arrêtés à 1'200 fr. (mille deux cents francs), sont mis à la charge de l’appelant A.X.________. IV. Il n’est pas alloué de dépens de deuxième instance. V. L’arrêt est exécutoire. Le juge délégué : Le greffier : Du L'arrêt qui précède, dont la rédaction a été approuvée à huis clos, est notifié à : ‑ Me Cédric Thaler (pour A.X.________), ‑ Mme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