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322 vom 9. März 2015</w:t>
      </w:r>
    </w:p>
    <w:p>
      <w:r>
        <w:t>VD Tribunal cantonal, 2015-03-09, FR</w:t>
      </w:r>
    </w:p>
    <w:p>
      <w:r>
        <w:rPr>
          <w:b/>
        </w:rPr>
        <w:t xml:space="preserve">Quelle: </w:t>
      </w:r>
      <w:r>
        <w:t>https://mcp.opencaselaw.ch/entscheid/vd_findinfo_HC___2015___322</w:t>
      </w:r>
    </w:p>
    <w:p>
      <w:r>
        <w:t>FR: VD_FINDINFO HC / 2015 / 322 du 9 mars 2015</w:t>
      </w:r>
    </w:p>
    <w:p>
      <w:r>
        <w:t>IT: VD_FINDINFO HC / 2015 / 322 del 9 marzo 2015</w:t>
      </w:r>
    </w:p>
    <w:p>
      <w:pPr>
        <w:pStyle w:val="Heading2"/>
      </w:pPr>
      <w:r>
        <w:t>Regeste</w:t>
      </w:r>
    </w:p>
    <w:p>
      <w:r>
        <w:t>MODIFICATION DES CIRCONSTANCES | 163 CC, 179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n. 2014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L’autorité d’appel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 4.3 ; ATF 129 III 18 c. 2.6). En l’espèce, l’appelante a requis la production, cas échéant de la décision d’octroi d’indemnité de l’assurance-invalidité en faveur de B.X.________ et du rapport de sortie qui a fait suite au séjour de ce dernier au sein de la Clinique [...] afin de pouvoir évaluer sa capacité / son incapacité de travail. Procédant à une appréciation anticipée des preuves, le Juge de céans est en mesure de trancher le litige sur la base des moyens de preuve à disposition, les motifs du séjour de l’intimé à la Clinique Montana n’étant pas de nature à modifier le résultat des preuves qu'il tient pour acquis. Il ne sera dès lors pas donné suite à la mesure d’instruction requise.</w:t>
      </w:r>
    </w:p>
    <w:p>
      <w:r>
        <w:rPr>
          <w:b/>
        </w:rPr>
        <w:t>E. 3</w:t>
      </w:r>
    </w:p>
    <w:p>
      <w:r>
        <w:t>L’appelante soutient que le premier juge a apprécié les faits de manière erronée en admettant que la situation de l’intimé se serait modifiée depuis le 29 janvier 2014. Elle émet en particulier des doutes s’agissant de l’incapacité de travailler de l’intimé. a) En matière de mesures protectrices de l’union conjugale, comme en matière de mesures provisionnelles, le juge n’examine la cause que de manière sommaire et se contente de la vraisemblance de la preuve des faits (TF 5A_860/2009 du 26 mars 2010 c. 1.3 ; Juge délégué CACI 4 septembre 2014/460 c. 4.1). Il suffit donc que les faits soient rendus plausibles (TF 5A_340/2008 du 12 août 2008 c. 3.1). b) 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la fixation de la contribution d'entretien ne devant pas anticiper sur la liquidation du régime matrimonial (ATF 119 II 314 c. 4b/aa ; TF 5A_453/2009 du 9 novembre 2009, c. 5.2).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 4b/aa ; TF 5A_710/2009 du 22 février 2010 c. 4.1 non publié aux ATF 136 III 257). Le législateur n'a pas arrêté de mode de calcul pour fixer le montant de la contribution d'entretien. Dans les cas où les parties ne sont pas dans une situation financière favorable, le juge peut appliquer la méthode dite du minimum vital avec répartition de l'excédent. Cette méthode consiste à évaluer les ressources respectives des conjoints, puis à calculer leurs charges en se fondant sur les lignes directrices pour le calcul du minimum d'existence en matière de poursuite (art. 93 LP [Loi fédérale du 11 avril 1889 sur la poursuite pour dettes et la faillite ; RS 281.1]), élargi des dépenses incompressibles, enfin à répartir le solde disponible de manière égale entre eux (TF 5P.504/2006 du 22 février 2007, c. 2.2.1 ; TF 5C.180/2002 du 20 décembre 2002, c. 5.2.2, in FamPra.ch 2003 p. 428 ss, 430 et les citations).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 3). c) Aux termes de l’art. 179 al. 1 1 ère phrase CC, le juge ordonne les modifications commandées par les faits nouveaux et rapporte les mesures prises lorsque les causes qui les ont déterminées n’existent plus. Une fois ordonnées, les mesures protectrices de l’union conjugale ou les mesures provisionnelles dans la procédure en divorce ne peuvent être modifiées qu’aux conditions de l’art. 179 CC, applicable directement pour les premières, par renvoi de l’art. 276 al. 1 CPC pour les secondes. Cette disposition s’applique également à la requête de mesures provisionnelles tendant à modifier les mesures protectrices prononcées auparavant (TF 5A 502/2010 du 25 juillet 2011 c. 3.2.2, publié in :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(TF 5A_522/2011 du 18 janvier 2012 c. 4.1 ; TF 5A_730/2008 du 22 décembre 2008 c. 3.1 et les arrêts cités ; TF 5P.473/2006 du 19 décembre 2006 c. 3). En revanche, les parties ne peuvent pas invoquer, pour fonder leur requête en modification, une mauvaise appréciation des circonstances initiales, que le motif relève du droit ou de l’établissement des faits (TF 5A_618/2009 du 14 décembre 2009 c. 3.2.2). La procédure de modification n’a pas pour but de corriger le premier jugement, mais de l’adapter aux circonstances nouvelles (ATF 131 III 189 c. 2.7.4 ; ATF 120 II 177 c. 3a). c) En l’espèce, le premier juge s’est fondé sur un certificat médical daté du 14 janvier 2014 ainsi qu’un courrier de l’employeur de l’intimé, daté du 24 octobre 2013, pour admettre que ce dernier subissait une incapacité de travail totale depuis le 9 septembre 2012 et que son salaire avait été baissé en conséquence au 1 er novembre 2013. Compte tenu du courrier qu’[...] SA avait adressé à l’intimé le 19 août 2014, le premier juge a en outre retenu que celui-ci n’avait plus droit aux prestations de l’assurance maladie dès le 8 septembre 2014 et qu’il bénéficie du Revenu d’insertion (ci-après : RI) depuis le 1 er octobre 2014. Il a considéré que ces éléments constituaient une modification durable et notable de la situation de l’intimé par rapport à celle qui prévalait le 29 janvier 2014 et que compte tenu de la situation financière de ce dernier, il n’était plus en mesure de contribuer à l’entretien des siens. Il l’a dès lors libéré de cette obligation à compter du 1 er octobre 2014, soit dès le moment où il a bénéficié du RI. Cette analyse, complète et convaincante, ne prête pas le flanc à la critique et doit être suivie. En effet, les allégations de l’appelante, qui ne sont fondées sur aucun élément concret, ne permettent pas d’écarter les pièces du dossier qui attestent de manière vraisemblable que l’intimé est en incapacité de travailler depuis le mois de septembre 2012, qu’il n’a plus droit aux prestations de l’assurance maladie depuis le 8 septembre 2014 et qu’il ne perçoit plus que le RI à compter du 1 er octobre 2014. Conformément au principe général du droit de la famille selon lequel le minimum vital du débiteur de l’entretien ne doit pas être entamé, le premier juge a libéré à raison l’intimé de son obligation d’entretien dès le 1 er octobre 2014. Ce moyen, mal fondé, doit être rejeté.</w:t>
      </w:r>
    </w:p>
    <w:p>
      <w:r>
        <w:rPr>
          <w:b/>
        </w:rPr>
        <w:t>E. 4</w:t>
      </w:r>
    </w:p>
    <w:p>
      <w:r>
        <w:t>heures 25 à ce mandat, en sus de 11 fr. 30 de débours. Cette durée paraît adéquate. Au tarif horaire de 180 fr. hors TVA, l’indemnité qui doit être allouée à Me Demierre s’élève à 800 fr. pour ses honoraires plus 64 fr. de TVA (8%), à laquelle s’ajoute 12 fr. 20 de débours, TVA comprise, soit une indemnité totale de 876 fr. 20. Les bénéficiaires de l’assistance judiciaire sont, dans la mesure de l’art. 123 CPC, tenus au remboursement des frais judiciaires et de l’indemnité au conseil d’office mis temporairement à la charge de l’Etat. L’appelante ayant succombé à son appel, des dépens de deuxième instance, arrêtés à 1'000 fr. sont mis à sa charge en faveur de l’intimé (art. 122 al. 1 let. d CPC). Par ces motifs, le juge délégué de la Cour d’appel civile du Tribunal cantonal, prononce : I. L’appel est rejeté. II. Les frais judiciaires de deuxième instance de l’appelante, arrêtés à 600 fr. (six cents francs), sont laissés à la charge de l’Etat. III. L’indemnité d’office de Me Jeton Kryeziu, conseil de l’appelante, est arrêtée à 1'269 fr. (mille deux cent soixante-neuf francs), TVA et débours compris, et celle de Me Vincent Demierre, conseil de l’intimé, à 876 fr. 20 (huit cent septante-six francs et vingt centimes), TVA et débours compris. IV. Les bénéficiaires de l’assistance judiciaire sont, dans la mesure de l’art. 123 CPC, tenus au remboursement des frais judiciaires et de l’indemnité au conseil d’office mis à la charge de l’Etat. V. L’appelante A.X.________ doit verser à l’intimé B.X.________ la somme de 1'000 fr. (mille francs), à titre de dépens de deuxième instance. VI. L’arrêt motivé est exécutoire. Le juge délégué : La greffière : Du 10 mars 2015 Le dispositif de l'arrêt qui précède est communiqué par écrit aux intéressés. La greffière : Du L'arrêt qui précède, dont la rédaction a été approuvée à huis clos, est notifié en expédition complète, par l'envoi de photocopies à : ‑ Me Jeton Kryeziu, avocat (pour A.X.________), ‑ Me Vincent Demierre, avocat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