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319 vom 12. Mai 2015</w:t>
      </w:r>
    </w:p>
    <w:p>
      <w:r>
        <w:t>VD Tribunal cantonal, 2015-05-12, FR</w:t>
      </w:r>
    </w:p>
    <w:p>
      <w:r>
        <w:rPr>
          <w:b/>
        </w:rPr>
        <w:t xml:space="preserve">Quelle: </w:t>
      </w:r>
      <w:r>
        <w:t>https://mcp.opencaselaw.ch/entscheid/vd_findinfo_HC___2015___319</w:t>
      </w:r>
    </w:p>
    <w:p>
      <w:r>
        <w:t>FR: VD_FINDINFO HC / 2015 / 319 du 12 mai 2015</w:t>
      </w:r>
    </w:p>
    <w:p>
      <w:r>
        <w:t>IT: VD_FINDINFO HC / 2015 / 319 del 12 maggio 2015</w:t>
      </w:r>
    </w:p>
    <w:p>
      <w:pPr>
        <w:pStyle w:val="Heading2"/>
      </w:pPr>
      <w:r>
        <w:t>Regeste</w:t>
      </w:r>
    </w:p>
    <w:p>
      <w:r>
        <w:t>OBLIGATION D'ENTRETIEN, PROTECTION DE L'UNION CONJUGALE, DEVOIR DE COLLABORER, OBLIGATION DE RENSEIGNER | 170 CC, 176 al. 1 ch. 1 CC, 179 al. 1 CC, 164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134 s). En d’autres termes, l’instance d’appel n’est nullement liée par l’appréciation des faits à laquelle s’est livré le juge de première instance ; elle peut « administrer les preuves » comme le prévoit l’art. 316 al. 3 CPC (Jeandin, CPC Commenté, Bâle 2011, n. 6 ad art. 310 CPC). Le large pouvoir d’examen en fait et en droit ainsi défini s’applique même si la décision attaquée est de nature provisionnelle (JT 2011 III 43 c. 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JT 2011 III 43). En l’espèce, dès lors qu’il est question du paiement d’une contribution d’entretien en faveur notamment de deux enfants mineurs, le litige est régi par la maxime inquisitoire illimitée de l’art. 296 CPC (Hohl, op. cit., nn. 1166 ss et 2414 ss). Les pièces produites par l’appelante, soit un contrat de travail pour la garde de l’enfant [...], daté du 1 er novembre 2014, avec effet au 1 er mars 2015, la copie d’un extrait de SMS que lui a adressés l’intimé le 9 décembre 2014, indiquant notamment « j’ai payé ma voiture à 70000 CHF (…) », ainsi qu’un nouveau contrat de travail, toujours pour le compte du même employeur, mais pour un taux d’activité à 37,5 % à partir du 1 er mars 2015, sont recevables, dès lors qu’il s’agit de faits qui ne sont nés qu’après l’audience de mesures protectrices de l’union conjugale du 25 septembre 2014 (vrais novas). Ces pièces doivent ainsi être prises en compte dans la mesure de leur utilité pour l’examen de la cause. Il en va de même pour la pièce produite le 24 mars 2015 par l’appelante, à savoir le procès-verbal de l’audience qui s’est déroulée le 5 mars 2015 devant la Vice-présidente du Tribunal d’arrondissement.</w:t>
      </w:r>
    </w:p>
    <w:p>
      <w:r>
        <w:rPr>
          <w:b/>
        </w:rPr>
        <w:t>E. 3</w:t>
      </w:r>
    </w:p>
    <w:p>
      <w:r>
        <w:t>Dans un premier grief, l’appelante conteste la prise en compte par le premier juge de certains postes dans ses charges ou la quotité arrêtée par celui-ci.</w:t>
      </w:r>
    </w:p>
    <w:p>
      <w:r>
        <w:rPr>
          <w:b/>
        </w:rPr>
        <w:t>E. 3.1.1</w:t>
      </w:r>
    </w:p>
    <w:p>
      <w:r>
        <w:t>L’appelante soutient tout d’abord qu’il n’y a pas lieu de déduire les allocations familiales qu’elle perçoit pour chaque enfant de leurs minimas vitaux respectifs et que, par conséquent, la base mensuelle doit être fixée à 800 fr. (2 x 400 fr.) et non à 340 fr. comme l’a retenu le premier juge.</w:t>
      </w:r>
    </w:p>
    <w:p>
      <w:r>
        <w:rPr>
          <w:b/>
        </w:rPr>
        <w:t>E. 3.1.2</w:t>
      </w:r>
    </w:p>
    <w:p>
      <w:r>
        <w:t>Selon la jurisprudence,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Affectées exclusivement à l’entretien de l’enfant, les prestations visées à l’art. 285 al. 2 CC ne sont pas prises en compte dans le calcul du revenu du parent qui les reçoit. En revanche, elles doivent être déduites des coûts d’entretien de l’enfant (TF 5A_892/2013 du 29 juillet 2014 c. 4.4.3 et les réf. citées).</w:t>
      </w:r>
    </w:p>
    <w:p>
      <w:r>
        <w:rPr>
          <w:b/>
        </w:rPr>
        <w:t>E. 3.1.3</w:t>
      </w:r>
    </w:p>
    <w:p>
      <w:r>
        <w:t>En application de la jurisprudence précitée, c’est à juste titre que le premier juge a retranché du coût d’entretien des enfants les allocations familiales perçues par l’appelante. Partant, son grief, mal fondé, doit être rejeté.</w:t>
      </w:r>
    </w:p>
    <w:p>
      <w:r>
        <w:rPr>
          <w:b/>
        </w:rPr>
        <w:t>E. 3.2.1</w:t>
      </w:r>
    </w:p>
    <w:p>
      <w:r>
        <w:t>L’appelante estime par ailleurs qu’elle peut prétendre à des frais de transports, du fait qu’elle a la charge de deux enfants en bas âge ayant des horaires et des activités différentes et qu’elle travaille dans une autre ville que celle où elle réside.</w:t>
      </w:r>
    </w:p>
    <w:p>
      <w:r>
        <w:rPr>
          <w:b/>
        </w:rPr>
        <w:t>E. 3.2.2</w:t>
      </w:r>
    </w:p>
    <w:p>
      <w:r>
        <w:t>Seuls doivent être pris en considération au titre de charge mensuelle incompressible les frais de véhicule dont l'usage est indispensable, par exemple parce qu'il n'y a pas de transports publics aux heures de travail considérées, au lieu du domicile, ou parce que l'état de santé ou la charge de plusieurs enfants à transporter empêchent d'emprunter ceux-ci (s’agissant de ce dernier cas, cf. TF 5P.238/2005 du 28 novembre 2005 c. 4.2.2 ; sur le tout, cf. Bastons Bulletti, L'entretien après divorce : méthodes de calcul, montant, durée et limites, in SJ 2007 II 77 ss, spéc. p. 86, note infrapaginale 51).</w:t>
      </w:r>
    </w:p>
    <w:p>
      <w:r>
        <w:rPr>
          <w:b/>
        </w:rPr>
        <w:t>E. 3.2.3</w:t>
      </w:r>
    </w:p>
    <w:p>
      <w:r>
        <w:t>En l’espèce, l’appelante réside à [...] et se rend chaque matin à son lieu de travail à [...]. Elle a, par ailleurs, la charge de deux enfants en bas âge, qui ont des rythmes différents, l’une étant âgée de 6 ans et l’autre de 6 mois. L’appelante doit en effet amener d’une part sa fille aînée à l’école et d’autre part sa fille cadette chez la maman de jour, le contrat conclu avec celle-ci précisant bien que la garde de l’enfant se déroule au lieu de domicile de l’employée. Il convient dès lors d’admettre que l’usage d’un véhicule privé est indispensable pour l’appelante. Ainsi, les frais de transport allégués en appel d’un montant total de 479 fr. 40 par mois, comprenant 200 fr. pour l’essence, 179 fr. 40 de leasing et 100 fr. de taxe véhicule, seront pris en compte dans ses charges. Son grief doit, par conséquent, être admis.</w:t>
      </w:r>
    </w:p>
    <w:p>
      <w:r>
        <w:rPr>
          <w:b/>
        </w:rPr>
        <w:t>E. 3.3.1</w:t>
      </w:r>
    </w:p>
    <w:p>
      <w:r>
        <w:t>L’appelante fait valoir en outre que la charge fiscale incombant aux parties n’a pas à être prise en compte dans le calcul du minimum vital et que les montants retenus par le premier juge à ce titre sont totalement arbitraires.</w:t>
      </w:r>
    </w:p>
    <w:p>
      <w:r>
        <w:rPr>
          <w:b/>
        </w:rPr>
        <w:t>E. 3.3.2</w:t>
      </w:r>
    </w:p>
    <w:p>
      <w:r>
        <w:t>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140 III 337 c. 4.2.3 et 4.4; 127 III 68 c. 2b, 289 c. 2a/bb; 126 III 353 c. 1a/aa). Ceci ne saurait toutefois valoir lorsque le débirentier est imposé à la source, dès lors que le montant de cet impôt est déduit de son salaire sans qu'il puisse s'y opposer (TF 5A_352/2010 du 29 octobre 2010 c. 5.3). Une telle solution s'impose dans la mesure où, en matière de droit des poursuites et de calcul du minimum vital selon l'art. 93 LP – lequel doit dans tous les cas être préservé (ATF 135 III 66) – le calcul du montant saisissable d'un débiteur imposé à la source doit tenir compte du salaire qu'il perçoit effectivement (cf. ch. III des Lignes directrices pour le calcul du minimum vital selon l'art. 93 LP; ATF 90 III 34; TF 7B.221/2003 du 17 novembre 2003 c. 3.4).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 4.2.2 et 4.3).</w:t>
      </w:r>
    </w:p>
    <w:p>
      <w:r>
        <w:rPr>
          <w:b/>
        </w:rPr>
        <w:t>E. 3.3.3</w:t>
      </w:r>
    </w:p>
    <w:p>
      <w:r>
        <w:t>En l’espèce, l’appelante est soumise à l’impôt à la source, lequel est directement prélevé sur son salaire. On ne voit dès lors pas à quel titre l’autorité précédente a tenu compte d’un montant supplémentaire de 300 fr. à titre d’impôt dans ses charges. Quant à l’intimé, il n’a, à aucun moment, allégué une charge d’impôts, et n’a encore moins rendu vraisemblable qu’il payait effectivement des acomptes à ce titre. Au contraire, il faut déduire du courrier du 17 février 2015 de sa fiduciaire que l’intimé n’a pas rempli de déclaration fiscale depuis 2012 et qu’il ne s’acquitte dès lors d’aucun acompte courant à ce titre. Partant, le grief de l’appelante doit être admis.</w:t>
      </w:r>
    </w:p>
    <w:p>
      <w:r>
        <w:rPr>
          <w:b/>
        </w:rPr>
        <w:t>E. 4.1</w:t>
      </w:r>
    </w:p>
    <w:p>
      <w:r>
        <w:t>L’appelante conteste encore l’estimation des revenus de l’intimé effectuée par le premier juge. Elle soutient qu’en raison de l’attitude non collaborante de celui-ci – lequel n’a pas donné suite aux réquisitions de pièces nécessaires à la détermination de ses revenus –, il y avait lieu de tenir pour acquis que le bénéfice net réalisé par l’entreprise [...] devait très vraisemblablement se monter à 100'000 fr. au moins par année, soit 8'333 fr. 35 par mois, puisque nombre de charges d’exploitation devaient être intégrées aux revenus réels de l’intimé.</w:t>
      </w:r>
    </w:p>
    <w:p>
      <w:r>
        <w:rPr>
          <w:b/>
        </w:rPr>
        <w:t>E. 4.2.1</w:t>
      </w:r>
    </w:p>
    <w:p>
      <w:r>
        <w:t>Aux termes de l’art. 170 CC, chaque époux peut demander à son conjoint qu’il le renseigne sur ses revenus, ses biens ou ses dettes (al. 1), le juge pouvant astreindre le conjoint du requérant ou des tiers à fournir les renseignements utiles et à produire les pièces nécessaires (al. 2). La jurisprudence précise à ce titre que, lorsque l’époux viole le devoir qui lui est imposé par l’art. 170 CC en refusant de collaborer avec le tribunal, ce comportement peut avoir pour conséquence de convaincre l’autorité judiciaire de la fausseté complète ou partielle des allégations de l’époux qui refuse de collaborer, par conséquent de l’amener à croire les indications de l’autre époux (ATF 118 II 27 c. 3 ; TF 5A_41/2012 du 7 juin 2012 c. 4.1 ; TF 5A_251/2008 et 5A_276/2008 du 6 novembre 2008 c. 4.5 ; TF 5C.123/2006 du 29 mars 2007 c. 4.1). Les parties et les tiers sont ainsi tenus de collaborer à l’administration des preuves (art. 161 al. 1 CPC). Ils ont en particulier l’obligation de produire les titres requis. Si une partie refuse de collaborer sans motif valable, le tribunal en tient compte lors de l’appréciation des preuves (art. 164 CPC). Ce refus de collaborer peut ne pas être explicite, mais résulter du défaut de la partie requise, qui omet de s’exécuter dans le délai prescrit ou ne se présente pas lorsqu’elle est citée à comparaître (Jeandin, op. cit., n. 10 ad art. 164, p. 658). Le juge pourra ne pas se limiter à prendre en considération les preuves rendues disponibles par l’administration des mesures probatoires, mais apprécier les faits en tenant compte de l’incidence d’une telle attitude sur les preuves disponibles. L’art. 164 CPC ne fournit pas d’autre précision sur la manière dont le juge doit opérer, ce qui revient à lui laisser un large pouvoir d’appréciation (Jeandin, op. cit., n. 6 ad art. 164, pp. 657 et 658). Cette démarche peut aussi l’amener à tenir des faits non établis pour avérés au détriment de la partie qui se refuse à collaborer, en dépit du fait qu’en vertu de l’art. 8 CC le fardeau de la preuve objectif incombait à la partie adverse (Jeandin, op. cit., n. 7 ad art. 164, p. 658).</w:t>
      </w:r>
    </w:p>
    <w:p>
      <w:r>
        <w:rPr>
          <w:b/>
        </w:rPr>
        <w:t>E. 4.2.2</w:t>
      </w:r>
    </w:p>
    <w:p>
      <w:r>
        <w:t>L’art. 58 al. 1 CPC prévoit que le tribunal ne peut accorder à une partie ni plus ni autre chose que ce qui est demandé, ni moins que ce qui est reconnu par la partie adverse. L’al. 2 précise que les dispositions prévoyant que le tribunal n’est pas lié par les conclusions des parties sont réservées. En particulier, le juge n’est pas lié par les conclusions des parties dans les procédures applicables aux enfants dans les affaires du droit de la famille, la maxime d’office étant applicable à ces litiges (art. 296 al. 3 CPC ; TF 5A_757/2013 du 14 juillet 2014 c. 2.1 ; TF 5A_713/2012 du 15 février 2013 c. 4.1 ; Bohnet, CPC Commenté, n. 10 ad art. 58 CPC p. 158). Cela signifie en particulier que le tribunal peut statuer autrement qu’il n’en a été requis. Ce dernier peut en conséquence octroyer plus que demandé ou moins qu’admis (Jeandin, op. cit., n. 15 ad art. 296 p. 1203). En l’espèce, le juge est donc libre de statuer ultra petita , dès lors que la cause porte notamment sur la contribution d’entretien due par l’intimé en faveur de deux enfants mineurs. D’ailleurs, on relèvera que la formulation des conclusions prises par l’appelante, s’agissant de la quotité de la contribution d’entretien, à savoir « 4'139 fr. 70 au moins » ou « 4'696 fr. 75 au moins », laisse une entière liberté au juge de fixer un montant de contribution d’entretien supérieur à ce qui est réclamé.</w:t>
      </w:r>
    </w:p>
    <w:p>
      <w:r>
        <w:rPr>
          <w:b/>
        </w:rPr>
        <w:t>E. 4.2.3</w:t>
      </w:r>
    </w:p>
    <w:p>
      <w:r>
        <w:t>Pour les indépendants, le revenu est constitué – lorsqu'une comptabilité est tenue dans les règles – par le bénéfice net d'un exercice; en l'absence de comptabilité, il s'agit de la différence du capital propre entre deux exercices (Chaix, Commentaire romand, n. 7 ad art. 176 CC; Juge déléguée CACI 19 août 2014/447 c. 5.2). En cas de revenus fluctuants, pour obtenir un résultat fiable, il convient de tenir compte, en général, du bénéfice net moyen réalisé durant plusieurs années (TF 5A_246/2009 du 22 mars 2010 c. 3.1, in FamPra.ch 2010 p. 678 et les références). A cet égard, la jurisprudence préconise de prendre en considération comme revenu effectif le bénéfice net moyen du compte d'exploitation des trois ou quatre dernières années (Bastons Buletti, L'entretien après divorce: méthodes de calcul, montant, durée et limites, SJ 2007 II 80 note infrapaginale 19; TF 5A_ 246/2009 du 22 mars 2010 c. 3.1., FamPra.ch. 2010 p. 678; TF 5P_342/2001 du 20 décembre 2001 c. 3a). Plus les fluctuations de revenus sont importantes et les données fournies par l'intéressé sont incertaines, plus la période de comparaison doit être longue (TF 5A_246/2009 précité c. 3.1 et la référence; TF 5A_259/2012 du 14 novembre 2012 c. 4.1, SJ 2013 I 451; TF 5A_396/2013 du 26 février 2014 c. 3.2.1). Lorsque les allégations sur le montant des revenus ne sont pas vraisemblables et que les pièces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5A_259/2012 du 14 novembre 2012 c. 4.2; TF 5A_246/2009 du 22 mars 2010 c. 3.1, FamPra.ch 2010 p. 678; TF 2P.29/2007 du 31 mai 2007 c. 2.4).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 5P.330/2006 du 12 mars 2007 c. 3.3).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w:t>
      </w:r>
    </w:p>
    <w:p>
      <w:r>
        <w:rPr>
          <w:b/>
        </w:rPr>
        <w:t>E. 4.3</w:t>
      </w:r>
    </w:p>
    <w:p>
      <w:r>
        <w:t>En l’espèce, dès lors que le premier juge n’a pas pu disposer des pièces nécessaires à la détermination des revenus actuels de l’intimé, il s’est fondé sur la seule pièce produite en première instance, à savoir la déclaration d’impôts 2011 du couple, dont il ressortait que l’intimé avait réalisé un bénéfice annuel net de 49'208 fr. sur sept mois, soit 84'360 fr. sur un exercice complet, correspondant à un revenu mensuel net de l’ordre de 7'030 fr., servi douze fois l’an. Les éléments figurant au dossier permettent de constater que la situation financière de l’intimé durant les trois dernières années est bien plus favorable que ce qu’il n’a laissé entendre devant l’autorité de première instance. L’intimé n’a pas caché qu’il menait un train de vie élevé, ayant lui-même déclaré, lors de l’audience du 5 mars 2015, qu’il avait acheté une voiture de marque BMW en fin d’année 2014 pour un montant de 50'000 fr., de même que des billets d’avion pour un prix de 1'800 fr. pour un voyage au [...] où, selon ses dires, il aurait dépensé 2'000 fr. sur place, ce qui est révélateur, à tout le moins sous l’angle de la vraisemblance, d’une capacité contributive élevée. Selon les indications fournies par la fiduciaire [...], les bénéfices réalisés en 2012 et 2013 se montent respectivement à 391'152 fr. 59 et 288'610 fr. 03, lors même que l’intimé évoquait en première instance des montants de l’ordre de 60'000 à 70'000 fr. pour ces mêmes années. Quant aux prélèvements effectués par l’intimé du seul compte Postfinance ouvert au nom de la société [...], ils laissent également apparaître des montants considérables, soit un total de 290'630 fr. 23 en 2012, de 299'932 fr. 79 en 2013 et de 283'963 fr. 88 en 2014. On ne dispose certes pas d’indications permettant de distinguer les prélèvements effectués à titre privé de ceux qui l’ont été à titre professionnel. Dans la mesure toutefois où les montants mentionnés à titre de prélèvements corrrespondent plus ou moins (dans une moyenne même inférieure) aux bénéfices indiqués par la fiduciaire, qui a également été confrontée à un manque de collaboration de l’intimé, il se justifie – compte tenu précisément de ce manque de collaboration – de retenir, sous l’angle de la vraisemblance, les montants mentionnés au paragraphe ci-dessus au titre de capacité contributive (les deux méthodes étant exclusives l’une de l’autre). Il appartenait à l’intimé d’apporter les éclaircissements nécessaires, ce qu’il s’est bien abstenu de faire, lors même qu’il y a été invité à plusieurs reprises par des entités différentes. Il doit dès lors assumer le manque de transparence de sa situation financière qui découle de son défaut général de collaboration. Au regard de ce qui précède, le revenu mensuel de l’intimé sera arrêté à 24'292 fr. (soit 290'630 fr. 23 + 299'932 fr. 79 + 283'963 fr. 88 / 36).</w:t>
      </w:r>
    </w:p>
    <w:p>
      <w:r>
        <w:rPr>
          <w:b/>
        </w:rPr>
        <w:t>E. 4.4</w:t>
      </w:r>
    </w:p>
    <w:p>
      <w:r>
        <w:t>En définitive, il y a lieu de retenir que, pour la période de novembre 2014 à février 2015, les charges de l’appelante comprenaient le montant de base de 1'350 fr. pour elle-même, le montant de base de ses deux enfants – déduction faite des allocations familiales – de 340 fr., un loyer de 2'000 fr., des primes d’assurance-maladie pour elle-même et ses deux enfants de 358 fr. 55, des frais médicaux de 208 fr. 35, des frais de véhicule de 479 fr. 40, ainsi que des frais de cantine de 50 fr., pour aboutir à un total de 4'786 fr. 30. Compte tenu d’un revenu de 3'050 fr., l’appelante devait supporter un déficit mensuel de 1'736 fr. 30. Depuis le 1 er mars 2015, s’ajoutent des frais de garde de 500 fr. par mois, de sorte que ses charges mensuelles se montent à 5'286 fr. 30. Depuis la même date, son revenu a passé à 1'757 fr. 45 bruts, soit 1'511 fr. 40 nets (après déduction des charges sociales et de l’impôt à la source), de sorte qu’elle accuse un manco de 3'774 fr. 90 par mois. Quant aux charges de l’intimé, elles se composent du montant de base de 1'200 fr., de frais liés au droit de visite de 150 fr., d’un loyer estimé à 1'500 fr., ainsi que d’une prime d’assurance-maladie de 248 fr., soit un total de 3'098 francs. Son revenu s’élevant à 24’292 fr., il a un disponible de 21'194 francs. Compte tenu de la répartition de l’excédent à raison de 60% pour l’appelante qui a la charge des deux enfants et de 40% pour l’intimé, la contribution d’entretien due par celui-ci en faveur des siens sera fixée à 13’400 fr. (montant arrondi, correspondant à 27'342 fr. [24'292 fr. + 3'050 fr.] ./. 7'884 fr. 30 x 60% + 1'736 fr. 30), allocations familiales dues en sus, du mois de novembre 2014 au mois de février 2015, et de 14’220 fr. (montant arrondi, correspondant à 25'803 fr. 40 [24'292 fr. + 1511 fr. 40] ./. 8'384 fr. 30 x 60% + 3'774 fr. 90), allocations familiales dues en sus, à compter du 1 er mars 2015.</w:t>
      </w:r>
    </w:p>
    <w:p>
      <w:r>
        <w:rPr>
          <w:b/>
        </w:rPr>
        <w:t>E. 5.1</w:t>
      </w:r>
    </w:p>
    <w:p>
      <w:r>
        <w:t>L’appelante fait encore grief au premier juge d’avoir rejeté sa conclusion tendant à l’octroi d’une provision ad litem . Elle fait valoir qu’elle n’a aucune économie, ni fortune, et qu’elle est incapable de subvenir seule à ses propres besoins courants ainsi qu’à ceux de ses enfants.</w:t>
      </w:r>
    </w:p>
    <w:p>
      <w:r>
        <w:rPr>
          <w:b/>
        </w:rPr>
        <w:t>E. 5.2</w:t>
      </w:r>
    </w:p>
    <w:p>
      <w:r>
        <w:t>Une provision ad litem peut être accordée déjà au stade des mesures protectrices de l'union conjugale (CACI</w:t>
      </w:r>
    </w:p>
    <w:p>
      <w:r>
        <w:rPr>
          <w:b/>
        </w:rPr>
        <w:t>E. 5.3</w:t>
      </w:r>
    </w:p>
    <w:p>
      <w:r>
        <w:t>En l’espèce, force est de constater que l’appelante n’a effectivement aucune fortune, ni économie. Par ailleurs, son revenu ne lui permet pas de couvrir ses charges ainsi que celles de ses deux enfants, raison pour laquelle elle peut prétendre à une contribution d’entretien de la part de son époux. L’intimé, quant à lui, jouit d’une situation financière confortable qui lui permet largement de couvrir ses besoins, ainsi que ceux de sa famille. Dès lors, compte tenu des situations financières respectives des deux parties, il se justifie que l’intimé verse une provision ad litem à la recourante, de sorte que la conclusion prise en ce sens par celle-ci doit être admise. S’agissant de la quotité de cette provision, il y a lieu de s’en tenir au montant réclamé de 2'500 fr., étant rappelé que la provision ad litem est soumise à la maxime de disposition. 6. Compte tenu de ce qui précède, l’appel doit être partiellement admis et le chiffre II de l’ordonnance de mesures protectrices de l’union conjugale réformé dans le sens des considérants qui précèdent. Les frais judiciaires de deuxième instance, arrêtés à 600 fr. (art. 65 al. 2 TFJC [tarif des frais judiciaires civils du 28 septembre 2010 ; RSV 270.11.5]), sont mis à la charge de l’intimé qui succombe pour l’essentiel (art. 106 al. 1 CPC). Vu l’issue du litige, l’intimé versera à l’appelante un montant de 3'100 fr. (art. 9 al. 2 TDC [tarif des dépens en matière civile du 23 novembre 2010 ; RSV 270.11.6]), à titre de restitution d’avance de frais et de dépens de deuxième instance. Par ces motifs, la Juge déléguée de la Cour d’appel civile du Tribunal cantonal, prononce : I. L’appel est partiellement admis. II. L’ordonnance est réformée comme il suit au chiffre II de son dispositif: II. astreint A.________ à contribuer à l’entretien des siens par le régulier versement d’une pension mensuelle, payable d’avance le premier de chaque mois, en mains de X.________, allocations familiales en sus, de : - 13’400 fr. (treize mille quatre cents francs) pour les mois de novembre 2014 à février 2015 ; - 14’220 fr. (quatorze mille deux cent vingt francs) à compter du mois de mars 2015. II bis. astreint A.________ à verser un montant de 2'500 fr. (deux mille cinq cents francs) à X.________, à titre de provision ad litem . L’ordonnance est confirmée pour le surplus. III. Les frais judiciaires de deuxième instance, arrêtés à 600 fr (six cents francs), sont mis à la charge de l’intimé A.________. IV. L’intimé A.________ doit verser à l’appelante X.________ la somme de 3'100 fr. (trois mille cent francs), à titre de restitution d’avance de frais et de dépens de deuxième instance. La juge déléguée : La greffière : Du L'arrêt qui précède, dont la rédaction a été approuvée à huis clos, est notifié à : ‑ Me Robert Lei Ravello (pour X.________), ‑ M.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r>
        <w:rPr>
          <w:b/>
        </w:rPr>
        <w:t>E. 9</w:t>
      </w:r>
    </w:p>
    <w:p>
      <w:r>
        <w:t>janvier 2013/572 ; CREC 15 juin 2012/220; cf. TF 5A_793/2008 du 8 mai 2009 c. 6.2).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CC) – est controversé, mais cet aspect n’a pas d’incidence sur les conditions qui président à son octroi (ATF 138 III 672 c. 4.2.1).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La provision ad litem , qui constitue en définitive une prétention en entretien de l'un des époux, est soumise au principe de disposition (TF 5A_704/2013 c. 3.4, non publié in ATF 140 III 231). Les contributions d’entretien ont en principe pour but de couvrir les besoins courants des bénéficiaires, et non de servir, comme la provision ad litem , à assumer les frais du procès en divorce; l’octroi d’une telle provision peut donc être justifié indépendamment du montant de la contribution à l’entretien de la famille (TF 5A_448/2009 du 25 mai 2010 c. 8.2 ; cf. TF 5A_62/2011 du 26 juillet 2011, c. 3.2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