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306 vom 6. März 2015</w:t>
      </w:r>
    </w:p>
    <w:p>
      <w:r>
        <w:t>VD Tribunal cantonal, 2015-03-06, FR</w:t>
      </w:r>
    </w:p>
    <w:p>
      <w:r>
        <w:rPr>
          <w:b/>
        </w:rPr>
        <w:t xml:space="preserve">Quelle: </w:t>
      </w:r>
      <w:r>
        <w:t>https://mcp.opencaselaw.ch/entscheid/vd_findinfo_HC___2015___306</w:t>
      </w:r>
    </w:p>
    <w:p>
      <w:r>
        <w:t>FR: VD_FINDINFO HC / 2015 / 306 du 6 mars 2015</w:t>
      </w:r>
    </w:p>
    <w:p>
      <w:r>
        <w:t>IT: VD_FINDINFO HC / 2015 / 306 del 6 marzo 2015</w:t>
      </w:r>
    </w:p>
    <w:p>
      <w:pPr>
        <w:pStyle w:val="Heading2"/>
      </w:pPr>
      <w:r>
        <w:t>Regeste</w:t>
      </w:r>
    </w:p>
    <w:p>
      <w:r>
        <w:t>ACCEPTATION DE L'OFFRE, TACITE, CONTRAT DE TRAVAIL, SALAIRE HORAIRE | 322 al. 1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 RSV 173.01]).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Dans un premier moyen, l’appelant se plaint d’un état de fait lacunaire. Il dit ne trouver aucune mention du salaire effectivement versé durant les rapports de travail pour chacun des mois travaillés, ni du nombre d’heures travaillées pour chaque mois d’activité et des prestations d’assurance-accident qui lui ont été versées. Il relève également que le premier juge n’a pas fait état de la procédure de dénonciation qu’il a ouverte à l’encontre de l’intimée ni des conclusions des inspecteurs du travail intervenus sur son lieu de travail à la suite de sa dénonciation. Il estime avoir été ainsi privé du bénéfice de la double instance. a) Aux termes de l’art. 129 al. 1 Cst-VD, toute décision judiciaire en matière civile ou pénale peut être portée devant une seconde instance au niveau cantonal. Si cette disposition ne déployait pas d'effets immédiats (JT 2004 III 76; JT 2006 III 90), elle est devenue directement applicable à l'échéance du délai de droit transitoire de l'art. 179 ch. 3bis Cst-VD, soit à l'entrée en vigueur de la procédure civile unifiée, le 1 er janvier 2011 (Tappy, op. cit., JT 2009 III 22). b) En l’espèce, l’état de fait a été complété, s’agissant du contrôle effectué par l’Inspection cantonale du travail. Au surplus, il ressort des bulletins de salaire ainsi que des décomptes de salaire figurant au dossier que ces documents indiquent avec précision le mode de rémunération, soit le salaire horaire et le nombre d’heures effectué, ainsi que les rubriques qui viennent s’ajouter au montant de base, pourcentages à l’appui. On peut ainsi y lire que le travailleur perçoit une indemnité pour jours fériés de 2.270%, une indemnité pour les vacances payées à raison de 10,650% et un treizième salaire à raison de 8,330%. Y figurent également, de manière détaillée, les charges sociales et la retenue pour l’impôt à la source. Au vu de ce qui précède, l’état de fait n’a pas à être considéré comme étant lacunaire, sous réserve des éléments déjà mentionnés et complétés. Par conséquent, c’est à tort que l’appelant se prévaut d’une violation du principe de la double instance, la Cour de céans étant en mesure de statuer sur la base des éléments à disposition. Ce premier moyen, mal fondé, doit être rejeté.</w:t>
      </w:r>
    </w:p>
    <w:p>
      <w:r>
        <w:rPr>
          <w:b/>
        </w:rPr>
        <w:t>E. 4</w:t>
      </w:r>
    </w:p>
    <w:p>
      <w:r>
        <w:t>L’appelant se plaint ensuite d’une violation du droit. Il conteste avoir donné son accord pour s’écarter des conditions d’emploi prévues dans son contrat de travail et avoir accepté d’être rémunéré sur la base d’un emploi à temps partiel, selon une rémunération à l’heure. a) Selon l’art. 322 al. 1 CO (Code des obligations du 30 mars 1911 ; RS 220), l’employeur paie au travailleur le salaire convenu, usuel ou fixé par un contrat-type de travail ou par une convention collective. Cette disposition étant de droit dispositif (non soumise à l’art. 341 CO; ATF 124 lI 436 c. 10e/aa), les parties peuvent conventionnellement diminuer le salaire en cours de contrat (TF 4C.242/2005 du 9 novembre 2005 c. 4.1; TF 4C.428/2005 du 28 février 2008 c. 5.2.1). Si la conclusion du contrat primitif n’était pas soumise à la forme écrite, la réduction du salaire arrêté dans le contrat passé peut être convenue tacitement, c’est-à-dire par le silence ou par actes concluants (TF 4C.242/2005 déjà cité c. 4.2; TF 4A_223/2010 du 12 juillet 2010 c. 2.1).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(ATF 109 lI 327 c. 2b ; TF 4C.242/2005 déjà cité c. 4.3; TF 4A_443/2010 du 26 novembre 2010 c. 10.1.4; TF 4A_216/2013 du 29 juillet 2013 c. 6.3).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(TF 4A_443/2010 déjà cité, c. 10.1.4; TF 4A_223/2010 déjà cité c. 2.1.2). Si, conformément à ce qu’il a annoncé au travailleur, l’employeur paie un salaire réduit, il est en règle générale reconnaissable pour le travailleur que l’employeur part d’une acceptation tacite de la réduction. Il est aussi admis que, si le travailleur a encaissé pendant au moins trois mois un salaire réduit par rapport à celui convenu initialement, sans formuler de réserve, il y a présomption de fait (tatsächliche Vermutung) qu’il a accepté tacitement la baisse de salaire. Si, par la suite, le travailleur entend réclamer une créance de salaire en raison de cette réduction, il lui incombe de renverser cette présomption en établissant des circonstances particulières sur la base desquelles l’employeur n’aurait pas dû déduire, malgré son long silence, un accord de sa part avec cette réduction (TF 4A_404/2014 du 17 décembre 2014 c. 5.1, qui confirme l’arrêt CACI 21 mai 2014/199 c. 7). b) En l’espèce, sur les vingt-deux bulletins de salaire produits par l’intimée, pour la période d’octobre 2011 à août 2013, l’appelant a signé les bulletins de salaire des mois de janvier, mars, avril et mai 2012 ainsi que les décomptes de salaire des mois de mai, juin, juillet et août 2013. Les décomptes de salaire sont détaillés. Ils indiquent avec précision le mode de rémunération, soit le salaire horaire et le nombre d’heures travaillées, ainsi que les rubriques qui viennent s’ajouter au montant de base (indemnité pour jours fériés, indemnité de vacances et treizième salaire), pourcentages à l’appui. Y figurent également, de manière détaillée, les charges sociales et la retenue pour l’impôt à la source. A la lecture de ces décomptes, l’appelant ne pouvait que comprendre qu’il était rémunéré selon un tarif horaire et non pas selon un tarif mensuel, ce qu’il a d’ailleurs lui-même admis lorsqu’il a été entendu par les premiers juges le 29 septembre 2014. On ne dispose par ailleurs d’aucun élément qui permettrait de dire que l’appelant se serait opposé à ce mode de faire. Bien au contraire ont été produits en première instance des décomptes horaire des mois de juin, juillet, août 2012 et janvier 2013, apparemment remplis de la main de l’appelant et signés par celui-ci, ce qui vient confirmer les déclarations de l’intimée, qui a indiqué, à l’audience du 29 septembre 2014, que c’était l’appelant qui notait ses heures et que celui-ci avait compris que le système était la rémunération à l’heure. Force est ainsi d’admettre que l’appelant avait accepté ce mode de faire, qui induisait une réduction du temps de travail et du salaire mensuellement perçu. Cela est confirmé par les décomptes de salaire produits pour la période litigieuse, décomptes qui font état d’un salaire mensuel net moyen - qui inclut le paiement des vacances - inférieur à celui initialement prévu de 2’806 fr. 80. Dans sa lettre de démission, l’appelant semble d’ailleurs se plaindre de la trop faible quantité de travail (« perché in quanto, il lavoro è poco »), ce qui vient encore confirmer le système de rémunération à l’heure. A cela s’ajoute que l’employé n’a pas soulevé d’objection aux versements du salaire tel que figurant sur les bulletins de salaire et ce pour la totalité de la période contractuelle le liant à l’employeur, soit durant vingt-trois mois. Il y a ainsi une présomption de fait qu’il y a eu acceptation tacite des modifications apportées au contrat de travail, sous l’angle d’une modification du mode de rémunération. Alors qu’il a accepté pendant presque deux ans le système de rémunération susmentionné, il incombait au travailleur d’établir des circonstances qui apporteraient la contre-preuve de cette présomption de consentement. Par sa critique, le recourant n’apporte en effet aucun élément dans ce sens. Il n’y a en particulier rien à déduire du décompte de prestations LAA du 27 septembre 2013 qui fait état d’un salaire annuel de 54’242 fr., puisqu’il s’agit là d’une estimation de l’employeur vis-à-vis de son assurance, estimation qui – au regard du caractère variable du travail rémunéré – pouvait faire l’objet de rectificatifs à la fin de chaque période contractuelle. On observera encore que l’inclusion de l’indemnité de vacances dans le salaire est légale (ATF 118 II 136 c. 3b; ATF 116 lI 515 c. 4a; ATF 107 Il 430 c. 3a). La jurisprudence s’est certes interrogée sur la justification d’une telle dérogation, mais elle a laissé la question ouverte, en relevant qu’il fallait en tous les cas que le contrat de travail, lorsque celui-ci était conclu par écrit, ainsi que les décomptes de salaire périodiques, mentionnent clairement et expressément quelle était la part du salaire global destinée à l’indemnisation des vacances (cf. ATF 129 III 493 c. 3.2 et 3.3, 664 c. 7.2). La simple indication selon laquelle l’indemnité afférente aux vacances est comprise dans le salaire total ne suffit pas; il faut que la part représentant cette indemnité soit fixée en pourcentage ou en chiffres (ATF 116 II 515 c. 4a) et que cette mention figure aussi bien dans le contrat de travail, s’il doit être conclu par écrit, que dans les décomptes de salaire (ATF 129 III 493 c. 3.3). L’exigence de la mention dans le contrat de travail ne vaut que si le contrat est passé en la forme écrite, soit parce que la loi l’exige, soit parce que les parties en sont convenues ainsi (Wyler/Heinzer, Droit du travail, 3 e éd. 2014, ch. 5.5. 3 let. b, p. 404). Les nouvelles Modalités, qui ne pouvaient qu’être admises par les parties (cf. supra, consid. 4), n’ont pas été finalisées par écrit, ce qui n’était pas nécessaire pour être valable, quoi qu’en dise l’appelant. On ne saurait donc reprocher aux parties de ne pas avoir mentionné par écrit, de manière claire et expresse, la part du salaire global destinée à l’indemnisation des vacances. Cela ressort d’ailleurs des décomptes de salaire périodiques produits, ce qui est suffisant. Il est enfin significatif de relever que, dans le cadre de son travail actuel, l’appelant est rémunéré à l’heure, les vacances étant également payées en sus, de même que le 13 e salaire et les jours fériés. Compte tenu de ce qui précède, on ne saurait dire que le salaire au mois tel que prévu contractuellement devait être versé à l’appelant et que donc l’intimée était redevable de la différence entre le salaire mensuel et le salaire horaire, et ce en dépit de la prise de position de l’inspectrice de l’Office de contrôle, qui se réfère à l’art. 9 de la CCNT, relatif au système de rémunération. Cet article stipule d’ailleurs, à son alinéa 1 er que « Le système de rémunération est défini dans le contrat de travail. La forme écrite est recommandée. En principe, tout système de rémunération est autorisé (salaire fixe, participation au chiffre d’affaires ou combinaisons) ». Il ne fait pas état, contrairement à ce que l’on pourrait comprendre de la prise de position, que « si l’employeur établi (sic) un contrat de travail sur la base d’un salaire mensuel brut, il ne peut pas par la suite rémunérer le collaborateur sur la base d’un salaire horaire brut ». On ne saurait pas plus prétendre que les indemnités LAA dont l’appelant a bénéficié en juin et juillet 2013 devaient être calculées sur la base du salaire mensuel brut initialement prévu. Dès lors que ces indemnités ont été calculées sur la base du tarif horaire finalement convenu entre les parties, il n’y a rien à redire à ce mode de faire, qui est seul remis en cause par l’appelant, qui ne revient en particulier pas sur le calcul effectué par l’intimée.</w:t>
      </w:r>
    </w:p>
    <w:p>
      <w:r>
        <w:rPr>
          <w:b/>
        </w:rPr>
        <w:t>E. 5</w:t>
      </w:r>
    </w:p>
    <w:p>
      <w:r>
        <w:t>En définitive, l’appel doit être rejeté selon le mode procédural de l’art. 312 al. 1 CPC et le jugement entrepris confirmé. L’appel n’étant pas dénué de toute chance de succès et l’appelant ayant démontré qu’il ne disposait pas de ressources suffisantes, il y a lieu d’admettre la requête d’assistance judiciaire formée par celui-ci et de désigner Me Amandine Torrent en qualité de conseil d’office. Le conseil de l'appelant, Me Amandine Torrent, a droit à une rémunération équitable pour ses opérations et débours dans la procédure d’appel (art. 122 al. 1 let. a CPC). Dans sa liste d’opérations produite le 4 mars 2015, elle a indiqué 8 heures 15 de travail consacré à la procédure de deuxième instance. Ce décompte peut être admis de sorte que, calculée au tarif horaire de 180 fr. hors TVA (art. 2 al. 1 let. a RAJ [Règlement sur l'assistance judiciaire en matière civile ; RSV 211.02.3]), l’indemnité d’office due à Me Torrent doit être arrêtée à 1'467 fr. pour ses honoraires, plus 117 fr. 65 de TVA au taux de 8% et 56 fr. 15, TVA comprise, pour ses débours, soit une indemnité totale arrondie à 1'640 francs. Le bénéficiaire de l’assistance judiciaire est tenu, dans la mesure de l’art. 123 CPC, de rembourser l’indemnité de l’avocat d’office mis à la charge de l’Etat. Il ne sera pas perçu de frais judiciaires, s'agissant d'un litige portant sur un contrat de travail dont la valeur litigieuse n’excède pas 30'000 fr. (art. 114 let. c CPC). Il n’y a au surplus pas lieu à l’allocation de dépens d’appel,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