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 vom 20. November 2014</w:t>
      </w:r>
    </w:p>
    <w:p>
      <w:r>
        <w:t>VD Tribunal cantonal, 2014-11-20, FR</w:t>
      </w:r>
    </w:p>
    <w:p>
      <w:r>
        <w:rPr>
          <w:b/>
        </w:rPr>
        <w:t xml:space="preserve">Quelle: </w:t>
      </w:r>
      <w:r>
        <w:t>https://mcp.opencaselaw.ch/entscheid/vd_findinfo_HC___2015___30</w:t>
      </w:r>
    </w:p>
    <w:p>
      <w:r>
        <w:t>FR: VD_FINDINFO HC / 2015 / 30 du 20 novembre 2014</w:t>
      </w:r>
    </w:p>
    <w:p>
      <w:r>
        <w:t>IT: VD_FINDINFO HC / 2015 / 30 del 20 novembre 2014</w:t>
      </w:r>
    </w:p>
    <w:p>
      <w:pPr>
        <w:pStyle w:val="Heading2"/>
      </w:pPr>
      <w:r>
        <w:t>Regeste</w:t>
      </w:r>
    </w:p>
    <w:p>
      <w:r>
        <w:t>MEILLEURE FORTUNE, MAJORITÉ{ÂGE}, ENFANT | 265 al. 2 LP, 319 let. a CPC (CH)</w:t>
      </w:r>
    </w:p>
    <w:p>
      <w:pPr>
        <w:pStyle w:val="Heading2"/>
      </w:pPr>
      <w:r>
        <w:t>Erwägungen</w:t>
      </w:r>
    </w:p>
    <w:p>
      <w:r>
        <w:rPr>
          <w:b/>
        </w:rPr>
        <w:t>E. 1.1</w:t>
      </w:r>
    </w:p>
    <w:p>
      <w:r>
        <w:t>Selon l'art. 319 let. a CPC (Code de procédure civile suisse du 19 décembre 2008 ; RS 272), le recours est recevable contre les décisions finales qui ne peuvent faire l'objet d'un appel. Aux termes de l'art. 308 al. 2 CPC, dans les causes patrimoniales, l'appel est recevable si la valeur litigieuse au dernier état des conclusions est de 10'000 fr. au moins. En l’espèce, la valeur litigieuse est inférieure à ce montant, dès lors qu'elle correspond au montant de la créance en poursuite, soit 5'307 fr. 90 (TF 5A_21/2010 du 19 avril 2010 c. 1.2). C'est donc la voie du recours qui est ouverte.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 CREC 21 juin 2012/230 c.1.2).</w:t>
      </w:r>
    </w:p>
    <w:p>
      <w:r>
        <w:rPr>
          <w:b/>
        </w:rPr>
        <w:t>E. 1.2</w:t>
      </w:r>
    </w:p>
    <w:p>
      <w:r>
        <w:t>En l'espèce, formé en temps utile par une partie qui y a intérêt (art. 59 al. 2 let. a CPC), le recours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 5 et 6 ad art. 320 CPC, p. 1276; Corboz et alii, Commentaire de la LTF, Berne 2009, n. 19 ad art. 97, p. 941).</w:t>
      </w:r>
    </w:p>
    <w:p>
      <w:r>
        <w:rPr>
          <w:b/>
        </w:rPr>
        <w:t>E. 3</w:t>
      </w:r>
    </w:p>
    <w:p>
      <w:r>
        <w:t>Le recourant reproche au premier juge d'avoir considéré que C.M.________ et D.M.________ sont à la charge de leurs parents, sous réserve de leur participation aux frais de logement, puis de retenir qu'elles doivent prendre à leur charge leur prime d'assurance-maladie, leur franchise et leur abonnement de transports publics. Il fait valoir que leurs faibles revenus ne leur permettent pas d'assumer de tels frais, lesquels doivent être rajoutés à son minimum d'existence, et qu'il n'est dès lors pas revenu à meilleure fortune, même partiellement.</w:t>
      </w:r>
    </w:p>
    <w:p>
      <w:r>
        <w:rPr>
          <w:b/>
        </w:rPr>
        <w:t>E. 3.1</w:t>
      </w:r>
    </w:p>
    <w:p>
      <w:r>
        <w:t>Aux termes de l’art. 265 al. 2 LP (loi fédérale du 11 avril 1889 sur la poursuite pour dettes et la faillite; RS 281.1),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Par retour à meilleure fortune, il faut donc entendre « acquisition d’actifs nets » (ATF 109 III 93 c. 1b ; ATF 99 Ia 19 c. 3a). Le revenu du travail peut constituer un nouvel actif net lorsqu’il dépasse le montant nécessaire au débiteur pour mener une vie conforme à sa condition et lui permet de réaliser des économies ; il ne suffit dès lors pas que le débiteur dispose de ressources supérieures au minimum vital selon l’art. 93 LP, encore faut-il qu’il puisse adopter un train de vie correspondant à sa situation et, en plus, épargner (ATF 129 III 385 c. 5 ; ATF 109 III 93 c. 1b ; ATF 99 Ia 19 c. 3 ; Jeandin, in Commentaire romand, Poursuite et faillite, Bâle 2005, n. 22 à 25 ad art. 265 LP). Inversement, il sied d’éviter que le débiteur ne dilapide ses revenus au préjudice de ses anciens créanciers sous le couvert de l’exception tirée du non-retour à meilleure fortune (TF 5A_452/2007 du 22 janvier 2008 c. 3.1 et la jurisprudence citée). Savoir quel est le montant concrètement nécessaire au débiteur pour mener un train de vie conforme à sa situation relève du pouvoir d’appréciation du juge (ATF 135 III 424 c. 2.1; ATF 129 III 385 c. 5.1.1; TF 5A_452/2007 du 22 janvier 2008 c. 3.1 et la jurisprudence citée dans ces arrêts). Il appartient toutefois au débiteur de prouver ses charges et leur caractère nécessaire pour maintenir un train de vie conforme à sa situation (TF 5A_21/2010 du 19 avril 2010 c. 2.3; CACI 18 décembre 2012/590; Huber, Basler Kommentar, 2 e éd., n. 41 ad art. 265a LP). Pour examiner s’il y a retour à meilleure fortune, le juge doit se placer à la date de l’introduction de la poursuite et non au moment où il statue (TF 5A_21/2010 du 13 avril 2010 c. 4.1 et réf.). 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 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 5.1.2 ; Jeandin, op. cit., n. 25 ad art. 265 LP, p. 1218). Une majoration du montant de base de 50 % est largement admise. En revanche, une majoration de 100 % est contraire au droit fédéral, lorsque les dépenses du débiteur et des siens ont été largement comptées (ATF 135 III 424 précité; TF 5A_622/2008 du 11 juin 2009 c. 2.3). Dans sa jurisprudence récente, la Cour de céans s’en tient en principe à une majoration du montant de base de 50% (CACI 19 août 2014/440 c. 3b ; CACI 18 décembre 2012/590 c. 4).</w:t>
      </w:r>
    </w:p>
    <w:p>
      <w:r>
        <w:rPr>
          <w:b/>
        </w:rPr>
        <w:t>E. 3.2</w:t>
      </w:r>
    </w:p>
    <w:p>
      <w:r>
        <w:t>L'entretien d'un 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(CPF 3 avril 2014/13; CPF 26 juin 2012/29; Ochsner, Commentaire romand, op. cit., n. 105 ad art. 93 LP). Si les conditions de l'art. 277 al. 2 CC sont réalisées, seront portés à la charge du débiteur, non seulement la base mensuelle d'entretien de l'enfant majeur, mais également ses frais d'assurance-maladie; en revanche, les frais liés à ses études supérieures (taxes d'inscription, fournitures scolaires ou universitaires, frais de déplacement, de repas hors du domicile, etc.) ne seront pas pris en compte (Ochsner, op. cit., n. 106 ad art. 93 LP; Guillard/Nicolet/Van Hove/Woessner, Jurisprudence de l'autorité de surveillance des offices de poursuites et de faillites du Canton de Genève de 1995 à 1998, in SJ 2000 II 199, pp. 216-217). Un montant de base de 600 fr. par enfant majeur est ainsi inclus dans le minimum vital lorsque cet enfant n'a pas achevé sa formation (Vonder Mühll, Basler Kommentar, n. 35 ad art. 93 LP). L'enfant majeur qui a achevé une formation, réalise un revenu et vit en ménage commun avec le débiteur n'a pas à être assimilé à un partenaire de communauté au sens des lignes directrices. Il n'a donc pas à être pris en considération dans le calcul du minimum vital du débiteur. Une participation équitable de l'enfant majeur aux frais de logement doit en revanche être prise en compte et déduite des frais du débiteur (ATF 132 III 483 c. 4.2, JT 2007 II 78; arrêt 5A_41/2008 du 13 novembre 2008, c. 7.2; Vonder Mühll, ibidem; Ochsner, op. cit., n. 174 ad art. 93 LP; Lignes directrices pour le calcul du minimum vital du droit des poursuites selon l'art. 93 LP, chiffre IV).</w:t>
      </w:r>
    </w:p>
    <w:p>
      <w:r>
        <w:rPr>
          <w:b/>
        </w:rPr>
        <w:t>E. 3.3</w:t>
      </w:r>
    </w:p>
    <w:p>
      <w:r>
        <w:t>En l'espèce, le recourant vit avec son épouse et leurs quatre enfants, dont trois filles majeures. La décision querellée retient que l'aînée n'a aucune activité professionnelle et n'est pas en formation, ce que le recourant ne conteste pas. Selon le procès-verbal d'audition du 28 janvier 2014, le recourant a fait valoir que ses filles étaient en formation mais qu'il n'avait pas d'attestation à produire. Il n'a toutefois pas précisé lesquelles de ses filles suivraient une formation, ni de quelle formation il s'agirait. Par ailleurs, alors qu'un délai a été accordé au recourant pour produire une copie du bail à loyer du logement de Lausanne, il résulte du procès-verbal qu'il n'avait pas d'autres pièces à produire. Il n'est dès lors pas établi que les trois filles majeures n'auraient pas achevé leur formation. Pour le surplus, D.M.________ et C.M.________ réalisent un revenu. Le premier juge a admis les charges du couple suivantes: - loyer 1'932 fr. 00 - chauffage              500 fr. 00 - loyer + électricité Lausanne 1'167 fr. 00 - électricité 217 fr. 00 - ECA</w:t>
      </w:r>
    </w:p>
    <w:p>
      <w:r>
        <w:rPr>
          <w:b/>
        </w:rPr>
        <w:t>E. 8</w:t>
      </w:r>
    </w:p>
    <w:p>
      <w:r>
        <w:t>fr.00 - TCS</w:t>
      </w:r>
    </w:p>
    <w:p>
      <w:r>
        <w:rPr>
          <w:b/>
        </w:rPr>
        <w:t>E. 11</w:t>
      </w:r>
    </w:p>
    <w:p>
      <w:r>
        <w:t>fr. 00 - livret ETI 8 fr. 60 - assurance véhicule 150 fr. 32 - taxe SAN              60 fr. 93 - assurance voyage (Generali)</w:t>
      </w:r>
    </w:p>
    <w:p>
      <w:r>
        <w:rPr>
          <w:b/>
        </w:rPr>
        <w:t>E. 14</w:t>
      </w:r>
    </w:p>
    <w:p>
      <w:r>
        <w:t>fr. 90 - REGA 10 fr. 83 - leasing véhicule 617 fr. 20 - frais réparation véhicule 100 fr. 00 - téléphone              250 fr. 00 - essence véhicule 770 fr. 00 - repas exérieur épouse 200 fr. 00 - assurance-vie</w:t>
      </w:r>
    </w:p>
    <w:p>
      <w:r>
        <w:rPr>
          <w:b/>
        </w:rPr>
        <w:t>E. 17</w:t>
      </w:r>
    </w:p>
    <w:p>
      <w:r>
        <w:t>fr. 20 Total : 8'847 fr. 81 Il a ensuite fixé le minimum vital d'existence du recourant selon le calcul suivant: .. charges du couple              8'847 fr. 81 - frais participation au logement D.M.________ et C.M.________ - …700 fr. 00 + base mensuelle couple + 1'700 fr. 00 + base mensuelle D.M.________, C.M.________ et E.M.________ + 1'800 fr. 00 + majoration base mensuelle + 1'750 fr. 00 Total : = 13'397 fr. 81 Au vu des règles exposées ci-dessus, c'est à juste titre que le premier juge n'a pas pris en compte dans les charges du couple les primes d'assurance-maladie, les frais de franchise et les abonnements CFF des trois filles aînées. C'est en revanche à tort qu'il a pris en considération les bases mensuelles des deux filles majeures qui exercent une activité. D'une part, il ne se justifie pas de faire une différence entre l'aînée qui n'exercerait pas d'activité lucrative et les deux autres filles majeures. D'autre part, au vu de la jurisprudence précitée, il n'y a pas à inclure dans le minimum d'existence du recourant un montant de base pour les enfants majeurs ni, a fortiori, une majoration du montant de base les concernant. Cela conduit à réduire le budget du recourant de 1'800 fr. ([2 x 600.-] + [2 x 300.-]) par rapport à ce qui a été calculé par le premier juge. On notera encore que le montant de base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de téléphone et redevances TV (Bastons Bulletti, L’entretien après divorce : méthodes de calcul, montant, durée et limites, SJ 2007 lI 77, p. 85, note infrapaginale 44). En l'espèce, le premier juge a comptabilisé dans les charges du recourant plusieurs postes qui sont censés être compris dans le montant de base. Sans entrer dans le détail des charges admissibles, il est clair que le montant du retour à meilleure fortune déterminé par le premier juge – soit 601 fr. 15 – est largement atteint si on doit déduire du montant d'existence déterminé par le premier juge la somme de 1'800 fr. précitée ainsi que plusieurs postes des charges. On peut ainsi laisser indécise la question de savoir si, eu égard au revenu modeste des filles majeures exerçant une activité lucrative, il se justifie de leur imputer une participation au logement. En définitive, le large pouvoir d'appréciation du premier juge n'est pas intervenu en défaveur du recourant, bien au contraire. 4. En conclusion, le recours doit être rejeté et le jugement attaqué confirmé. Les frais judiciaires de deuxième instance, arrêtés à 400 fr. (art. 69 al. 1 TFJC [tarif des frais judiciaires civils du 28 septembre 2010 ; RSV 270.11.5]), sont mis à la charge du recourant, qui succombe (art. 106 al. 1 CPC). Il n'est pas alloué de dépens, l'intimée ayant renoncé à se déterminer. Par ces motifs, la Chambre des recours civile du Tribunal cantonal, statuant à huis clos, prononce : I. Le recours est rejeté. II. Le jugement est confirmé. III. Les frais judiciaires de deuxième instance, arrêtés à 400 fr. (quatre cents francs), sont mis à la charge du recourant A.M.________. IV. Il n’est pas alloué de dépens de deuxième instance. V. L’arrêt motivé est exécutoire. La vice-présidente : La greffière : Du</w:t>
      </w:r>
    </w:p>
    <w:p>
      <w:r>
        <w:rPr>
          <w:b/>
        </w:rPr>
        <w:t>E. 21</w:t>
      </w:r>
    </w:p>
    <w:p>
      <w:r>
        <w:t>novembre 2014 Le dispositif de l'arrêt qui précède est communiqué par écrit aux intéressés. La greffière : Du L'arrêt qui précède, dont la rédaction a été approuvée à huis clos, est notifié en expédition complète, par l'envoi de photocopies, à : ‑ M. Jean-Marc Schlaeppi (pour A.M.________), ‑ M. Alain Vuffray (pour I.________AG).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