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294 vom 4. März 2015</w:t>
      </w:r>
    </w:p>
    <w:p>
      <w:r>
        <w:t>VD Tribunal cantonal, 2015-03-04, FR</w:t>
      </w:r>
    </w:p>
    <w:p>
      <w:r>
        <w:rPr>
          <w:b/>
        </w:rPr>
        <w:t xml:space="preserve">Quelle: </w:t>
      </w:r>
      <w:r>
        <w:t>https://mcp.opencaselaw.ch/entscheid/vd_findinfo_HC___2015___294</w:t>
      </w:r>
    </w:p>
    <w:p>
      <w:r>
        <w:t>FR: VD_FINDINFO HC / 2015 / 294 du 4 mars 2015</w:t>
      </w:r>
    </w:p>
    <w:p>
      <w:r>
        <w:t>IT: VD_FINDINFO HC / 2015 / 294 del 4 marzo 2015</w:t>
      </w:r>
    </w:p>
    <w:p>
      <w:pPr>
        <w:pStyle w:val="Heading2"/>
      </w:pPr>
      <w:r>
        <w:t>Regeste</w:t>
      </w:r>
    </w:p>
    <w:p>
      <w:r>
        <w:t>EXPULSION DE LOCATAIRE, EXÉCUTION FORCÉE, ESPACE DE TEMPS | 338 CPC (CH), 341 CPC (CH)</w:t>
      </w:r>
    </w:p>
    <w:p>
      <w:pPr>
        <w:pStyle w:val="Heading2"/>
      </w:pPr>
      <w:r>
        <w:t>Erwägungen</w:t>
      </w:r>
    </w:p>
    <w:p>
      <w:r>
        <w:rPr>
          <w:b/>
        </w:rPr>
        <w:t>E. 1</w:t>
      </w:r>
    </w:p>
    <w:p>
      <w:r>
        <w:t>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(JT 2011 III 44). En l’espèce, déposé en temps utile par une partie qui y a intérêt (art. 59 al. 2 let. a CPC), le recours est recevable en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La recourante fait valoir que l'ordonnance du 23 août 2013 ne fixe aucun délai pour requérir l’exécution forcée et que les dispositions de la loi vaudoise du 18 mai 1955 sur la procédure d’expulsion en matière de baux à loyer et à ferme (ci-après : LPEBL), qui impartissaient un délai à la bailleresse, ont été abrogées lors de l’entrée en vigueur du CPC au 1 er janvier 2011. b) La LPEBL et le CPC-VD (Code de procédure civile vaudois du 14 décembre 1966) ont été abrogés lors de l’entrée en vigueur du CPC au 1 er janvier 2011. L’exécution d’une obligation non pécuniaire requise après cette date s’opère donc selon les art. 335 ss CPC.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(al. 3). c) Le premier juge a considéré que le maintien du locataire dans l'appartement litigieux durant plus d'une année, soit de l'ordonnance d'expulsion du 23 août 2013 à la requête d'exécution forcée du 6 novembre 2014 de W.________, sans que cette dernière n'ait démontré ou seulement allégué avoir requis la restitution de l'objet loué ou perçu le loyer correspondant, a eu pour conséquence que les relations contractuelles entre les parties se sont poursuivies sur la base d'un nouveau contrat de bail conclu tacitement (art. 266 al. 2 CO). Il a ainsi rejeté la requête d'exécution forcée de W.________. d) Comme le relève la recourante, les art. 335 ss CPC ne prévoient aucun délai pour requérir l'exécution forcée. Dans un cas similaire à la présente cause, il a été retenu que l'écoulement d'une période de 9 mois depuis l'ordonnance d'expulsion n'empêchait pas le bailleur de requérir l'exécution forcée, dès lors que la loi ne fixait ni la durée de la suspension de la procédure que pouvait requérir le locataire ni le délai pour la reprise de cette procédure après suspension (CREC 18 décembre 2013 n° 434). Ainsi, dans la mesure où l'intimé n'a fait valoir aucune des circonstances prévues à l'art. 341 al. 3 CPC, en particulier l'extinction de l'obligation de quitter les lieux, c'est à tort que le premier juge a rejeté la requête de W.________ du 6 novembre 2014.</w:t>
      </w:r>
    </w:p>
    <w:p>
      <w:r>
        <w:rPr>
          <w:b/>
        </w:rPr>
        <w:t>E. 4</w:t>
      </w:r>
    </w:p>
    <w:p>
      <w:r>
        <w:t>a) Au vu de ce qui précède, le recours doit être admis et l’ordonnance du 6 janvier 2015 annulée, afin que le premier juge statue à nouveau dans le sens des considérants. b) Les frais judiciaires de deuxième instance, arrêtés à 400 fr. (art. 69 al. 1 TFJC [tarif des frais judiciaires civils du 28 septembre 2010, RSV 270.11.5]), sont mis à la charge de l'intimé, qui succombe (art. 106 al. 1 CPC). c) En règle générale, la partie qui succombe est tenue de rembourser à la partie qui a obtenu gain de cause tous les frais causés par le litige (art. 3 al. 1 TDC [tarif des dépens en matière civile du 23 novembre 2010,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500 fr. pour la recourante (art. 13 al. 1 TDC). Vu l’issue du litige, l’intimé versera à la recourante les montants de 500 fr. et 400 fr. à titre respectivement de dépens et de restitution d'avance de frais de deuxième instance. Par ces motifs, la Chambre des recours civile du Tribunal cantonal, prononce : I. Le recours est admis. II. L'ordonnance est annulée et la cause est renvoyée au Juge de paix du district de la Riviera – Pays-d'Enhaut pour statuer à nouveau dans le sens des considérants. III. Les frais judiciaires de deuxième instance, arrêtés à 400 fr. (quatre cents francs), sont mis à la charge de l'intimé. IV. L'intimé Z.________ doit verser à la recourante W.________ la somme de 900 fr. (neuf cents francs) à titre de restitution d'avance de frais et de dépens de deuxième instance. V. L'arrêt motivé est exécutoire. Le président :               La greffière : Du</w:t>
      </w:r>
    </w:p>
    <w:p>
      <w:r>
        <w:rPr>
          <w:b/>
        </w:rPr>
        <w:t>E. 6</w:t>
      </w:r>
    </w:p>
    <w:p>
      <w:r>
        <w:t>mars 2015 Le dispositif de l'arrêt qui précède est communiqué par écrit aux intéressés. La greffière : Du L'arrêt qui précède, dont la rédaction a été approuvée à huis clos, est notifié en expédition complète, par l'envoi de photocopies, à : ‑ Mme Martine Schlaeppi (pour W.________), ‑ M. Z.________.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