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291 vom 3. März 2015</w:t>
      </w:r>
    </w:p>
    <w:p>
      <w:r>
        <w:t>VD Tribunal cantonal, 2015-03-03, FR</w:t>
      </w:r>
    </w:p>
    <w:p>
      <w:r>
        <w:rPr>
          <w:b/>
        </w:rPr>
        <w:t xml:space="preserve">Quelle: </w:t>
      </w:r>
      <w:r>
        <w:t>https://mcp.opencaselaw.ch/entscheid/vd_findinfo_HC___2015___291</w:t>
      </w:r>
    </w:p>
    <w:p>
      <w:r>
        <w:t>FR: VD_FINDINFO HC / 2015 / 291 du 3 mars 2015</w:t>
      </w:r>
    </w:p>
    <w:p>
      <w:r>
        <w:t>IT: VD_FINDINFO HC / 2015 / 291 del 3 marzo 2015</w:t>
      </w:r>
    </w:p>
    <w:p>
      <w:pPr>
        <w:pStyle w:val="Heading2"/>
      </w:pPr>
      <w:r>
        <w:t>Regeste</w:t>
      </w:r>
    </w:p>
    <w:p>
      <w:r>
        <w:t>EXÉCUTEUR TESTAMENTAIRE, PARTAGE SUCCESSORAL, HÉRITIER INSTITUÉ, HÉRITIER LÉGAL | 554 CC, 556 CC</w:t>
      </w:r>
    </w:p>
    <w:p>
      <w:pPr>
        <w:pStyle w:val="Heading2"/>
      </w:pPr>
      <w:r>
        <w:t>Erwägungen</w:t>
      </w:r>
    </w:p>
    <w:p>
      <w:r>
        <w:rPr>
          <w:b/>
        </w:rPr>
        <w:t>E. 1</w:t>
      </w:r>
    </w:p>
    <w:p>
      <w:r>
        <w:t>a) Pour toutes les affaires gracieuses de droit fédéral, il est statué conformément aux art. 104 à 109 CDPJ (Code de droit privé judiciaire vaudois du 12 janvier 2010 ; RSV 211.02) (art. 11 CDPJ). L’application de la procédure sommaire implique que la voie de droit ouverte est celle de l’art. 109 al. 3 CDPJ, auquel les art. 319 ss CPC s’appliquent à titre supplétif (art. 104 al. 1 CDPJ). Le recours, écrit et motivé, est introduit dans les dix jours à compter de la notification de la décision motivée auprès de l’instance de recours (art. 321 al.1 et 2 CPC), soit, en l’occurrence, la Chambre des recours civile (art. 73 al.1 LOJV). b) Selon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Par définition, les « autres décisions » et « ordonnances d’instruction » ne sont ni finales, ni partielles, ni incidentes, ni provisionnelles, puisque ces décisions sont visées par la let. a de l’art. 319 CPC. Il s’agit de décisions d’ordre procédural par lesquelles le tribunal détermine le déroulement formel et l’organisation de l’instance (Jeandin, CPC commenté, Bâle 2011, n. 11 ad art. 319 CPC et les références citées). Selon la jurisprudence, la notion de préjudice difficilement réparable est plus large que celle de dommage irréparable de l’art. 93 al. 1 let. a LTF (Loi du 17 juin 2005 sur le Tribunal fédéral ; RS 173.110), puisqu’elle devrait viser également les désavantages de fait (JT 2011 III 86 c. 3 et références; CREC 20 avril 2012/148). La question de savoir s’il existe un préjudice difficilement réparable s’apprécie par rapport aux effets de la décision incidente sur la cause principale, respectivement la procédure principale (ATF 137 II 380 c. 1.2.2 ; voir aussi TF 4A_560/2011 du 11 janvier 2012 c. 2.2).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dans le but de se prémunir contre le risque d’un prolongement sans fin du procès (JT 2011 I 86 c. 3; CREC</w:t>
      </w:r>
    </w:p>
    <w:p>
      <w:r>
        <w:rPr>
          <w:b/>
        </w:rPr>
        <w:t>E. 6</w:t>
      </w:r>
    </w:p>
    <w:p>
      <w:r>
        <w:t>Selon l’art. 334 al. 1 CPC, si le dispositif de la décision est peu clair, contradictoire ou incomplet ou qu’il ne correspond pas à la motivation, le tribunal procède, sur requête ou d’office, à l’interprétation ou à la rectification de la décision. Cette disposition permet ainsi au tribunal d'expliciter sa pensée lorsqu'elle est formulée de façon peu claire, lacunaire ou contradictoire (interprétation) ou quand une inadvertance lui fait dire autre chose que ce qu'il voulait exprimer (rectification) (Schweizer, CPC commenté, op. cit., n. 2 ad art. 334 CPC). Il y a donc lieu à rectification lorsqu'une erreur patente est manifestement due à une inadvertance (Schweizer, op. cit., n. 11 ad art. 334 CPC). En l’espèce, le chiffre II du dispositif notifié aux parties le 3 mars 2015 confirme la décision entreprise « sous réserve du ch. II du dispositif ». Il ressort cependant clairement des considérants qui précèdent (c. 4) que le recourant voit sa conclusion relative à l’ordonnance de l’administration d’office de la succession rejetée. S’agissant d’une erreur manifeste, il convient de la rectifier d’office en application de l’art. 334 CPC, la teneur du chiffre II du dispositif devant être modifiée en ce sens que « la décision est confirmée. » Par ces motifs, la Chambre des recours civile du Tribunal cantonal, prononce : I. Le recours est rejeté dans la mesure où il est recevable. II. La décision est confirmée. III. Les frais judiciaires de deuxième instance, arrêtés à 600 fr. (six cents francs), sont mis à la charge du recourant A.F.________. IV. Il n’est pas alloué de dépens de deuxième instance. V. L’arrêt motivé est exécutoire. Le président :               La greffière : Du 3 mars 2015 Le dispositif de l'arrêt qui précède est communiqué par écrit aux intéressés. La greffière : Du L'arrêt qui précède, dont la rédaction a été approuvée à huis clos, est notifié en expédition complète, par l'envoi de photocopies, à : ‑ Me Philippe Reymond, avocat (pour A.F.________), ‑ Me Christophe Piguet, avocat (pour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