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 vom 16. Januar 2015</w:t>
      </w:r>
    </w:p>
    <w:p>
      <w:r>
        <w:t>VD Tribunal cantonal, 2015-01-16, FR</w:t>
      </w:r>
    </w:p>
    <w:p>
      <w:r>
        <w:rPr>
          <w:b/>
        </w:rPr>
        <w:t xml:space="preserve">Quelle: </w:t>
      </w:r>
      <w:r>
        <w:t>https://mcp.opencaselaw.ch/entscheid/vd_findinfo_HC___2015___29</w:t>
      </w:r>
    </w:p>
    <w:p>
      <w:r>
        <w:t>FR: VD_FINDINFO HC / 2015 / 29 du 16 janvier 2015</w:t>
      </w:r>
    </w:p>
    <w:p>
      <w:r>
        <w:t>IT: VD_FINDINFO HC / 2015 / 29 del 16 gennaio 2015</w:t>
      </w:r>
    </w:p>
    <w:p>
      <w:pPr>
        <w:pStyle w:val="Heading2"/>
      </w:pPr>
      <w:r>
        <w:t>Regeste</w:t>
      </w:r>
    </w:p>
    <w:p>
      <w:r>
        <w:t>AVOCAT D'OFFICE, ASSISTANCE JUDICIAIRE, HONORAIRES | 110 CPC (CH), 122 al. 1 let. a CPC (CH), 319 let. b ch. 1 CPC (CH)</w:t>
      </w:r>
    </w:p>
    <w:p>
      <w:pPr>
        <w:pStyle w:val="Heading2"/>
      </w:pPr>
      <w:r>
        <w:t>Erwägungen</w:t>
      </w:r>
    </w:p>
    <w:p>
      <w:r>
        <w:rPr>
          <w:b/>
        </w:rPr>
        <w:t>E. 1.1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 recours a été interjeté en temps utile par une personne qui y a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En l'espèce, le recourant n'a pas pris de conclusions chiffrées et Me L.________ a conclu à l'irrecevabilité du recours de ce fait, ainsi que pour défaut de motivation. Le recourant exprime toutefois clairement sa volonté de remettre en cause l'indemnité allouée à son conseil d'office par le premier juge, qu'il estime excessive compte tenu du fait qu'il avait préparé toutes les preuves nécessaires et que le dossier ne présentait pas de difficulté particulière. Cela étant, on peut admettre que le recourant conclut implicitement à la réforme de la décision attaquée, en ce sens que l'indemnité de son conseil d'office est réduite à un montant fixé à dire de justice. Le recours est ainsi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conteste les listes d'opérations établies par son avocat. Il fait valoir que le dossier était prêt dès le début, avec des copies des correspondances, des photos et autres preuves démontrant qu'il faisait l'objet d'un congé-représailles. Il explique en outre qu'il a choisi son avocat pour sa connaissance du droit du bail et que le dossier ne présentait dès lors aucune difficulté. Me L.________ a pour sa part fait valoir que le dossier n'était pas si simple, que la préparation des écritures et la réunion des preuves s'est avérée fastidieuse, notamment en raison du comportement du bailleur. Il a soutenu que les opérations listées correspondaient au travail effectué. En outre, si les procédures concernant plusieurs locataires avaient été jointes, la situation de chacun avait dû être examinée séparément en détail. Lorsqu'un acte ne nécessitait pas de vérification et d'adaptation, il n'était comptabilisé qu'une seule fois puis réparti à part égales entre les différents mandants.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Me L.________ a été désigné en qualité de conseil d'office du recourant dans la cause en protection contre les congés l'opposant à W.________. A titre préalable, il convient de relever que la demande du recourant portait en définitive sur plusieurs objets, soit la prolongation du bail, les frais accessoires et décomptes de chauffage, ainsi que le dommage résultant du défaut de l'installation de chauffage et de la suppression de la buanderie. La cause n'était donc pas dénuée de complexité. Elle impliquait en outre plusieurs parties et il convenait d'adapter la situation aux particularités de chacune. Me L.________ a rencontré son client (conférence d'une heure) avant de rédiger une demande de onze pages, accompagnée d'un bordereau de pièces et d'un bordereau de pièces requises. Ces documents ont dû être adaptés pour chaque locataire. Pour le surplus, s'agissant des opérations propres au recourant, l'avocat a eu deux brèves correspondances téléphoniques avec le client, rédigé huit lettres et envoyé cinq cartes de transmission. Si l'on admet que la gestion du mandat implique également la lecture des correspondances du client et de la partie adverse, ainsi que l'examen des questions juridiques qui se posent, le temps invoqué par Me L.________, soit 8 heures 12 – dont 1 heure 10 par l'avocat-stagiaire – apparaît correct et adéquat et peut être confirmé. S'agissant des opérations effectuées pour tous les locataires, c'est à juste titre que le premier juge a refusé de tenir compte des opérations effectuées postérieurement au 24 janvier 2014. En effet, à cette date, les parties ont signé une transaction mettant fin au litige et l'affaire a été rayée du rôle. La suite ne relevait dès lors plus du mandat d'office de Me L.________. Les opérations effectuées jusque-là ont consisté en la rédaction de huit lettres et 26 cartes de transmission, en une conférence avec tous les locataires pour préparer l'audience (1 heure 30), en la préparation de l'audience (3 heures) et en l'audience elle-même, laquelle a duré 2 heures 30. Le temps correspondant à ces opérations, chiffré par l'avocat à 12 heures 05 – dont 4 heures 05 par l'avocat-stagiaire – peut également être admis. La partie imputable au recourant est d'un quart. Aux tarifs horaires respectifs de 180 fr. et 110 fr., l'indemnité pour l'avocat est donc arrêtée à 1'625 fr. 40 (9.03 x 180.-) et celle pour l’avocat-stagiaire à 240 fr. 90 (2.19 x 110.-). Le défraiement du conseil d'office s'élève ainsi à 2'015 fr. 60, dont 149 fr. 30 à titre de TVA. Ce montant correspond à l'indemnité allouée par le premier juge.</w:t>
      </w:r>
    </w:p>
    <w:p>
      <w:r>
        <w:rPr>
          <w:b/>
        </w:rPr>
        <w:t>E. 3.3</w:t>
      </w:r>
    </w:p>
    <w:p>
      <w:r>
        <w:t>Me L.________ a pour le surplus facturé des débours par 83 fr. 60 pour le seul recourant et 266 fr. 40 pour l'ensemble des locataires (66 fr. 60 pour le recourant). Les frais courants, notamment de photocopies, font partie des frais généraux de l’avocat et ne peuvent en principe être facturés en sus (CREC 14 novembre 2013/377). C'est ainsi un montant de 39 fr. 60 qui doit être déduit de la première liste et 128 fr. 40 de la liste commune (32 fr. 10 pour le recourant). Les débours qui doivent être admis s'élèvent donc à 78 fr. 50 (44 fr. + 34 fr. 50), plus 6 fr. 20 à titre de TVA, soit 84 fr. 70 au total.</w:t>
      </w:r>
    </w:p>
    <w:p>
      <w:r>
        <w:rPr>
          <w:b/>
        </w:rPr>
        <w:t>E. 4</w:t>
      </w:r>
    </w:p>
    <w:p>
      <w:r>
        <w:t>En définitive, le recours doit être très partiellement admis et le prononcé attaqué réformé à son chiffre I en ce sens que l'indemnité de conseil d'office de Anicet Bard allouée à Me L.________ est fixée à 2'100 fr. 30 (2'015 fr. 60 + 84 fr. 70). Les frais judiciaires de deuxième instance, arrêtés à 100 fr. (art. 69 al. 3 TFJC [tarif des frais judiciaires civils du 28 septembre 2010 ; RSV 270.11.5]), sont mis par 75 fr. à la charge du recourant dès lors qu'il n'obtient gain de cause que dans une très faible mesure, et laissés par 25 fr. à la charge de l'Etat (art. 106 al. 2 et 107 al. 2 CPC). Par ces motifs, la Chambre des recours civile du Tribunal cantonal, statuant à huis clos, prononce : I. Le recours est très partiellement admis. II. Le prononcé est réformé au chiffre I de son dispositif comme il suit: "I. fixe l'indemnité de conseil d'office de J.________ allouée à Me L.________ à 2'100 fr. 30 (deux mille cent francs et trente centimes), correspondant à : - 2'015 fr. 60 de défraiement (dont 149 fr. 30 de TVA) - 84 fr. 70 de débours (dont 6 fr. 20 de TVA)." Le prononcé est confirmé pour le surplus. III. Les frais judiciaires de deuxième instance, arrêtés à 100 fr. (cent francs), sont mis par 75 fr. (septante-cinq francs) à la charge de J.________ et laissés par 25 fr. (vingt-cinq francs) à la charge de l’Etat. IV. L’arrêt est exécutoire. Le président :               La greffière : Du L'arrêt qui précède, dont la rédaction a été approuvée à huis clos, est notifié à : ‑ M. J.________, ‑ Me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