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286 vom 9. März 2015</w:t>
      </w:r>
    </w:p>
    <w:p>
      <w:r>
        <w:t>VD Tribunal cantonal, 2015-03-09, FR</w:t>
      </w:r>
    </w:p>
    <w:p>
      <w:r>
        <w:rPr>
          <w:b/>
        </w:rPr>
        <w:t xml:space="preserve">Quelle: </w:t>
      </w:r>
      <w:r>
        <w:t>https://mcp.opencaselaw.ch/entscheid/vd_findinfo_HC___2015___286</w:t>
      </w:r>
    </w:p>
    <w:p>
      <w:r>
        <w:t>FR: VD_FINDINFO HC / 2015 / 286 du 9 mars 2015</w:t>
      </w:r>
    </w:p>
    <w:p>
      <w:r>
        <w:t>IT: VD_FINDINFO HC / 2015 / 286 del 9 marzo 2015</w:t>
      </w:r>
    </w:p>
    <w:p>
      <w:pPr>
        <w:pStyle w:val="Heading2"/>
      </w:pPr>
      <w:r>
        <w:t>Regeste</w:t>
      </w:r>
    </w:p>
    <w:p>
      <w:r>
        <w:t>PROTECTION DE L'UNION CONJUGALE, RELATIONS PERSONNELLES, OBLIGATION D'ENTRETIEN | 176 al. 1 ch. 1 CC, 273 al.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L’appel est de la compétence du juge unique (art. 84 al. 2 LOJV [Loi d’organisation judiciaire du 12 décembre 1979 ; RSV 173.01]). Formé en temps utile par une partie qui y a un intérêt digne de protection (art. 59 al. 2 let. a CPC) et portant sur des conclusions,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évrier 2012/57 c. 2a). En l’espèce, l’appel porte tant sur la constatation inexacte des faits par le premier juge que sur la violation du droit. L’appelant se borne toutefois à reprendre les éléments de faits mentionnés dans la décision de première instance, en y ajoutant parfois des éléments d’appréciation personnelle, sans toutefois expliquer en quoi ces faits seraient inexacts, de sorte que ce grief doit être écarté.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pp. 1201 s. ; JT 2011 III 43). En l'espèce, dès lors que le couple a un enfant mineur, le litige est régi par la maxime inquisitoire illimitée de l'art. 296 CPC (Hohl, Procédure civile, Tome II, 2 e éd., nn. 1166 ss et 2414 ss). Les pièces produites par les parties sont donc susceptibles d'être examinées par le juge de l'appel en application de l'art. 317 al. 1 CPC, dans la mesure de leur utilité. L’appelant a notamment produit la copie d’un bail à loyer qu’il a conclu le 4 février 2015 portant sur la location d’un appartement de 3,5 pièces à [...] à partir du 1 er février 2015 pour un loyer de 1'445 fr., charges comprises. Il a également produit un extrait d’un échange de courriels daté du 5 décembre 2014 dont il ressort en particulier que la sous-location de l’appartement loué par l’appelant à [...] devait prendre fin le 31 janvier 2015. La copie du contrat de sous-location entre l’appelant et [...], avec l’indication que ce contrat expirerait au plus tard le 1 er octobre 2015, y est jointe. c) Les conclusions ne peuvent être modifiées en appel que si les conditions fixées à l’art. 227 al. 1 CPC sont remplies et, cumulativement, que la modification repose sur des faits ou des moyens de preuve nouveaux (art. 317 al. 2 CPC ; Tappy, op. cit., JT 2010 III 140). Selon l’art. 227 al. 1 let. a et b CPC, la prétention nouvelle ou modifiée doit non seulement relever de la procédure applicable en appel mais encore – sauf renonciation de la partie adverse à cette autre condition – présenter un lien de connexité avec l’objet de l’appel (Jeandin, CPC commenté, nn. 11 s. ad art. 317 CPC). Cette limitation ne vaut pas, lorsque la maxime d’office est applicable, les conclusions des parties n’étant que des propositions qui ne lient pas le juge (Reetz/Hilber, Kommentar zur Schweizerischen Zivilprozessordnung (ZPO-Komm.), Zurich 2013, 2 e édition, n. 76 ad art. 317 CPC). En l’espèce, l’appelant a déposé au total quatorze conclusions en appel à l’encontre du prononcé rendu le 26 janvier 2015 par la Vice-présidente du Tribunal civil de l’arrondissement de l’Est vaudois. Il convient en premier lieu d’en examiner la teneur et de déterminer si elles sont admissibles ou non. La conclusion I, relative à l’admission de l’appel, et la conclusion II, tendant au maintien des chiffres IV, IX, X, XI et XIII du prononcé querellé sont recevables. La conclusion III, tendant à l’annulation des chiffres I, VI, VII et VIII de la convention partielle signée le 10 décembre 2014 par les parties aux débats doit être rejetée. En effet, si l’appel est en soi recevable, il doit être limité, s’agissant d’une convention, aux vices du consentement (art. 279 CPC ; cf. Tappy, ad art. 279 nn. 8 et 28 pp. 1111 et 1115). L’appelant ne démontrant pas qu’il était dans l’erreur ou victime d’une lésion, voire d’une crainte fondée, la conclusion III doit être rejetée. La conclusion IV, tendant à ce que la séparation des parties soit prononcée pour une durée déterminée et la conclusion VI, portant sur la garde de l’enfant, supposent l’admission de la conclusion III. Celle-ci étant rejetée, la conclusion IV doit l’être également. La conclusion VIII, relative à l’autorité parentale, est sans objet, dès lors que celle-ci subsiste pour les deux parents ex lege tant que la séparation perdure. De même, la conclusion IX, tendant à astreindre l’intimée à consulter l’appelant avant toute décision importante concernant l’enfant, est également sans objet à ce stade de la procédure. Dès lors que le chiffre IV, attribuant la garde de l’enfant à l’intimée doit être maintenu, la conclusion X, tendant à ce que celle-ci reverse la moitié des allocations familiales perçues à l’appelant est sans objet. Ainsi, seule la conclusion V, qui tend à l’annulation de la mise en œuvre du Point Rencontre dans le cadre de l’exercice du droit de visite de l’appelant sur son fils, à la réintroduction de l’interdiction pour l’intimée de déménager avec son fils (correspondant aussi à la conclusion XI) et à la modification de la contribution d’entretien due par l’appelant en faveur de siens (correspondant également à la conclusion XIV subsidiaire) mérite d’être examinée.</w:t>
      </w:r>
    </w:p>
    <w:p>
      <w:r>
        <w:rPr>
          <w:b/>
        </w:rPr>
        <w:t>E. 3</w:t>
      </w:r>
    </w:p>
    <w:p>
      <w:r>
        <w:t>a) L’appelant conclut tout d’abord, s’agissant du droit de visite, à ce que la mise en œuvre du Point Rencontre soit annulée, arguant en substance que ce système le prive d’un contact régulier avec son fils et rompt la stabilité relationnelle existante entre lui et son fils. En l’espèce, il faut partir du principe que les parents sont adéquats vis-à-vis de leur enfant. Le premier juge n’a d’ailleurs pas remis en doute cet élément. Cela étant, le magistrat précédent a également relevé qu’un important conflit divisait les parties et les empêchait de communiquer sereinement concernant l’enfant, raison pour laquelle il a estimé qu’il était dans l’intérêt de celui-ci que le droit de visite de l’appelant se déroule par l’intermédiaire de Point Rencontre. La solution préconisée par le premier juge paraît, en l’état, être la plus bénéfique pour l’enfant, dès lors qu’elle présente l’avantage évident de limiter les contacts entre époux et permet un passage de l’enfant d’un parent à l’autre dans un milieu neutre. Au demeurant, l’appelant ne conteste pas la mise en œuvre du SPJ dans le but d’évaluer les capacités éducatives des parents et de faire toutes propositions quant à l’exercice du droit de visite de l’appelant sur son fils. Il est exclu, à l’heure actuelle, de précipiter les choses, étant précisé que le droit aux relations personnelles de l’appelant sur son fils est garanti. Il y a donc lieu de maintenir le statu quo. Partant, les conclusions XII et XIII doivent être rejetées. b) L’appelant conclut ensuite à ce que l’interdiction faite à l’intimée de déménager avec son fils soit réintroduite, sans toutefois alléguer en quoi cette mesure serait adéquate. En l’espèce, l’intimée a la garde de son fils et, comme l’a relevé le premier juge, aucun risque concret d’enlèvement de l’enfant n’a pu être établi, l’intimée ayant au demeurant déclaré aux débats qu’elle renonçait à son projet de séjourner deux semaines par mois en France. Le magistrat précédent a également relevé qu’aucun élément au dossier ne justifiait d’ordonner une interdiction de quitter la Suisse et de priver ainsi l’intimée de rendre visite à sa famille avec son fils et qu’une telle interdiction constituerait une mesure de protection disproportionnée. L’analyse du premier juge ne prête pas le flanc à la critique et doit être confirmée en appel. Les conclusions V et XI doivent par conséquent être rejetées. c) L’appelant conclut enfin à ce que le montant de la contribution d’entretien fixée à sa charge en faveur des siens soit réduit à 630 fr. par mois, allocations familiales en sus. Il invoque en particulier un fait nouveau, soit le paiement d’un loyer plus élevé (1’445 fr. au lieu de 680 fr.), et reproche au premier juge de n’avoir pas pris en considération les frais liés au droit de visite, à hauteur de 150 fr. par mois. S’agissant du loyer, on relèvera que si l’appelant a produit en appel des pièces indiquant, d’une part, qu’il a pris à bail un appartement de 3,5 pièces à compter du 1 er février 2015 pour un loyer de 1'445 fr. et, d’autre part, que la sous-location de l’appartement qu’il loue à [...] pour un loyer de 1'680 fr. a pris fin le 31 janvier 2015, cela ne démontre toutefois pas encore qu’il a résilié le bail du second appartement et qu’il ne l’a pas sous-loué à nouveau à compter du 1 er février 2015. Au demeurant, l’intention, certes louable de l’appelant, d’emménager dans un appartement susceptible d’accueillir son fils est une décision prématurée puisqu’en l’état, seules des visites limitées au Point Rencontre soit de mise. Concernant les frais liés au droit de visite, on relèvera qu’il se justifie de prendre en compte un montant de 150 fr. à ce titre lorsque le parent non gardien exerce un droit de visite usuel. Dès lors que l’appelant exerce un droit de visite à raison de deux fois par mois pour une durée de six heures, c’est à bon droit que le premier juge n’a pas tenu compte de ce montant dans les charges de l’appelant. Partant, le grief soulevé par l’appelant, mal fondé, doit être rejeté.</w:t>
      </w:r>
    </w:p>
    <w:p>
      <w:r>
        <w:rPr>
          <w:b/>
        </w:rPr>
        <w:t>E. 4</w:t>
      </w:r>
    </w:p>
    <w:p>
      <w:r>
        <w:t>Compte tenu de ce qui précède, l’appel doit être rejeté dans la mesure de sa recevabilité et le prononcé entrepris confirmé. Les frais judiciaires de deuxième instance, arrêtés à 600 fr. (art. 65 al. 2 TFJC [tarif des frais judiciaires civils du 28 septembre 2010 ; RSV 270.11.5]), sont mis à la charge de l’appelant qui succombe (art. 106 al. 1 CPC). L’intimée n’ayant pas été invitée à se déterminer sur l’appel, il n’y a pas lieu de lui allouer des dépens. Par ces motifs, le Juge délégué de la Cour d’appel civile du Tribunal cantonal, statuant en application de l'art. 312 al. 1 CPC, prononce : I. L’appel est rejeté dans la mesure où il est recevable. II. Le prononcé est confirmé. III. Les frais judiciaires de deuxième instance, fixés à 600 fr. (six cents francs), sont mis à la charge de l’appelant H.________. IV. L’arrêt motivé est exéutoire. Le juge délégué : La greffière : Du 10 mars 2015 Le dispositif de l'arrêt qui précède est communiqué par écrit aux intéressés. La greffière : Du L'arrêt qui précède, dont la rédaction a été approuvée à huis clos, est notifié en expédition complète, par l'envoi de photocopies, à : ‑ M. H.________, ‑ Mme 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