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281 vom 17. März 2015</w:t>
      </w:r>
    </w:p>
    <w:p>
      <w:r>
        <w:t>VD Tribunal cantonal, 2015-03-17, FR</w:t>
      </w:r>
    </w:p>
    <w:p>
      <w:r>
        <w:rPr>
          <w:b/>
        </w:rPr>
        <w:t xml:space="preserve">Quelle: </w:t>
      </w:r>
      <w:r>
        <w:t>https://mcp.opencaselaw.ch/entscheid/vd_findinfo_HC___2015___281</w:t>
      </w:r>
    </w:p>
    <w:p>
      <w:r>
        <w:t>FR: VD_FINDINFO HC / 2015 / 281 du 17 mars 2015</w:t>
      </w:r>
    </w:p>
    <w:p>
      <w:r>
        <w:t>IT: VD_FINDINFO HC / 2015 / 281 del 17 marzo 2015</w:t>
      </w:r>
    </w:p>
    <w:p>
      <w:pPr>
        <w:pStyle w:val="Heading2"/>
      </w:pPr>
      <w:r>
        <w:t>Regeste</w:t>
      </w:r>
    </w:p>
    <w:p>
      <w:r>
        <w:t>BAIL À LOYER, DÉFAUT DE LA CHOSE, BRUIT, TÉMOIN | 8 CC, 257f al. 2 CO, 259a CO, 319 let. a CPC (CH)</w:t>
      </w:r>
    </w:p>
    <w:p>
      <w:pPr>
        <w:pStyle w:val="Heading2"/>
      </w:pPr>
      <w:r>
        <w:t>Erwägungen</w:t>
      </w:r>
    </w:p>
    <w:p>
      <w:r>
        <w:rPr>
          <w:b/>
        </w:rPr>
        <w:t>E. 1</w:t>
      </w:r>
    </w:p>
    <w:p>
      <w:r>
        <w:t>Dans les affaires patrimoniales, le choix de la voie de droit contre une décision finale, entre l’appel et le recours limité au droit au sens des art. 319 ss CPC (Code de procédure civile du 19 décembre 2008 ; RS 272), voie subsidiaire (art. 319 let. a CPC), se détermine en fonction de la valeur litigieuse de la cause, l’appel n’entrant en ligne de compte qu’en présence d’une valeur litigieuse de 10’000 fr. au moins. En l’espèce, la valeur litigieuse, déterminée selon l’art. 308 al. 2 CPC, est inférieure à 10'000 fr., de sorte que c’est la voie du recours qui est ouverte. Interjeté en temps utile (art. 321 al. 1 CPC) par une partie qui, s'étant substituée à la défenderesse par contrat de fusion (art. 83 CPC), a un intérêt digne de protection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w:t>
      </w:r>
    </w:p>
    <w:p>
      <w:r>
        <w:rPr>
          <w:b/>
        </w:rPr>
        <w:t>E. 6</w:t>
      </w:r>
    </w:p>
    <w:p>
      <w:r>
        <w:t>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3. La recourante conteste l'existence des défauts admis par les premiers juges, ainsi que la réduction de loyer à laquelle elle a donné lieu. Elle se plaint d'arbitraire dans l'établissement des faits et l'appréciation des preuves. Elle reproche en particulier aux premiers juges de s'être fondé exclusivement sur les témoignages des membres de la famille ou proches de l'intimé pour admettre l'existence de nuisances sonores, tout en écartant sans les mentionner les dépositions de A.C.________ et du gérant de l'immeuble. La recourante estime également paradoxal de retenir qu'il existe un défaut mais que l'activité de maman de jour ne peut être interdite ni justifier une résiliation du bail. 3.1 Aux termes de l'art. 8 CC (Code civil suisse du 10 décembre 1907 ; RS 210), chaque partie doit, si la loi ne prescrit le contraire, prouver les faits qu’elle allègue pour en déduire son droit. Cette règle, qui s’applique à toute prétention fondée sur le droit fédéral (ATF 125 III 78 c. 3b), répartit le fardeau de la preuve (ATF 122 III 219 c. 3c, JT 1997 11246) et détermine qui doit assumer les conséquences de l’échec de la preuve (ATF 126 III 189’c. 2b). Cette disposition ne dicte cependant pas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 248 c. 3a ; ATF 128 II 271 c. 2b, JT 2003 I 606). Pour le surplus, le juge établit sa conviction par une libre appréciation des preuves administrées (art. 157 CPC). Le locataire qui entend se prévaloir des art. 259a ss CO (Code des obligations du 30 mars 1911 ; RS 220) doit prouver qu’il manque à la chose une qualité qu’elle devrait avoir d’après le contrat ou d’après la loi et que l’usage pour lequel elle a été louée en est entravé ou réduit (USPI, Droit suisse du bail à loyer, Genève 1992, n. 19 ad art. 259d CO, p. 235). 3.2 Les premiers juges ont admis que l'activité de maman de jour exercée par A.C.________ générait un bruit important qui dépassait les bruits normaux dans un immeuble locatif et constituait dès lors un défaut moyen de la chose jouée en se fondant sur les déclarations des témoins X.________, B.R.________, V.________ et Z.________, Selon la jurisprudence,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(TF 4A_181/2012 du 10 septembre 2012 c. 3 et les références citées). En l'espèce, lorsqu'ils ont procédé à l'appréciation des témoignages, les premiers juges n'ont pas évoqué les relations personnelles des témoins avec les parties. Or B.R.________ est la fille de l'intimé et partage son logement. Elle apparaît également dans les correspondances échangées en relation avec le conflit de voisinage. V.________ est le compagnon de B.R.________ et Z.________ la meilleure amie de cette dernière. Quant à X.________, il est l'ami d'enfance de l'intimé. Dans le contexte de ces liens, les témoins ont pu être informés par l'intimé ou sa fille de l'avancement et de l'enjeu du procès et, éventuellement, préparer d'entente avec eux leurs dépositions avant l'audience. Il se justifiait en tous les cas objectivement d'envisager une convergence d'intérêts et un esprit de solidarité entre les témoins et l'intimé et d'apprécier avec circonspection leurs dépositions, ce d'autant plus qu'il n'existe aucun autre indice propre à corroborer ces témoignages. En particulier, aucun autre habitant de l'immeuble, qui comporte 13 logements, n'a exprimé de pareils griefs, que ce soit par écrit ou oralement. En outre, le litige s'insère dans un conflit de voisinage exacerbé et paraît en constituer une étape, l'intimé ayant même soutenu dans sa plaidoirie écrite du 27 janvier 2014 que les époux [...] "instrumentalisent les enfants gardés pour régler des conflits d'adulte, de voisinage", leur reprochant ainsi de susciter ou de diriger le bruit des enfants à son encontre pour lui nuire. On notera enfin que, dans leur appréciation des preuves, les premiers juges n'ont pas tenu compte des témoignages de A.C.________ et de N.________, sans toutefois en indiquer la raison. Si ce sont les liens de N.________ avec la gérance et le fait que A.C.________ exerce l'activité critiquée de maman de jour qui les ont empêchés de prendre en considération leurs dépositions, la même retenue aurait dû s'imposer vis-à-vis des proches de l'intimé. Ainsi, compte tenu du conflit de voisinage exacerbé entre l'intimé et les époux [...], des liens qui existent entre les témoins et les parties et de l'absence de toute autre preuve, on doit admettre que les premiers juges ont procédé à une appréciation arbitraire des preuves en retenant l'existence d'un défaut de la chose louée sous la forme de bruits d'enfants dépassant les bruits de vie ordinaire dans un immeuble locatif. Il en résulte que l'intimé, à qui le fardeau de la preuve incombait, n'est pas parvenu à établir l'existence d'un défaut et que son action doit être rejetée pour ce motif déjà. 3.3 Il convient de relever, par surabondance, que le jugement attaqué comporte une incohérence juridique dans la mesure où il admet l'existence d'un défaut en raison du comportement d'un locataire envers un autre, mais qu'il refuse d'enjoindre au bailleur d'intervenir pour supprimer ce défaut et faire cesser les nuisances sonores dues à l'activité de A.C.________. Le locataire est tenu d'avoir pour les personnes habitant la maison et les voisins les égards qui leur sont dus (art. 257f al. 2 CO). Il est admis que les désagréments causés par des voisins ou des tiers qui excèdent les limites de la tolérance constituent un défaut de la chose louée (TF 4C.377/2004 du 2 décembre 2005, c. 2.1; TF 4C.164/1999 du 22 juillet 1999, in Cahiers du bail 2000 pp. 21 ss c. 2c). En présence d’un tel défaut, le locataire peut, à certaines conditions, faire valoir les droits découlant des art. 259a à 259h CO, parmi lesquels figurent le droit d’exiger une réduction proportionnelle du loyer (art. 259d CO) et celui de consigner le loyer (art. 259g CO) (CREC I 22 août 2012/43). En l'espèce, la constatation d'un défaut implique celle d'un manque de diligence de la locataire concernée envers ses voisins. Or les premiers juges ont considéré qu'une interdiction de l'activité d'accueil de jour ou une résiliation du bail de la concierge était disproportionnée. Il en résulte que le bailleur se trouve condamné à supporter une réduction de loyer jusqu'à la cessation ou la modification des nuisances liées à l'activité d'accueillante en milieu familial de jour exercée par A.C.________ sans être mis en mesure d'agir auprès d'elle pour supprimer ces nuisances. Or, l'élimination du prétendu défaut n'apparaît pas d'emblée impossible puisque le jugement querellé constate qu'une autre locataire exerce l'activité d'accueil de jour dans l'immeuble sans qu'il n'en résulte de nuisance. Etant donné qu'aucune faute n'est imputée à A.C.________ et qu'aucune réparation n'incombe à la recourante, on ne saurait admettre l'existence d'un défaut. 4. En définitive, le recours doit être admis et le jugement attaqué réformé en ce sens que la demande formée le 1 er février 2013 par A.R.________ à l'encontre de Q.________SA, anciennement U.________SA, est rejetée. Les frais judiciaires de deuxième instance, arrêtés à 400 fr. (art. 69 al. 1 TFJC [tarif des frais judiciaires civils du 28 septembre 2010, RSV 270.11.5]), sont mis à la charge de l'intimé, qui succombe (art. 106 al. 1 CPC). L'intimé versera à la recourante la somme de 1'400 fr. (art. 13 TDC [tarif des dépens en matière civile du 23 novembre 2010, RSV 270.11.6]) à titre de dépens de deuxième instance et de restitution d'avance de frais (art. 106 al. 1 et 111 al. 2 CPC). Par ces motifs, la Chambre des recours civile du Tribunal cantonal, prononce : I. Le recours est admis. II. Le jugement rendu le 28 avril 2014 par le Tribunal des baux est réformé en ce sens que la demande en réduction proportionnelle de loyer pour cause de défaut de la chose louée formée le 1 er février 2013 par A.R.________ à l’encontre de Q.________SA est rejetée. Le jugement est confirmé pour le surplus. III. Les frais judiciaires de deuxième instance, arrêtés à 400 fr. (quatre cents francs), sont mis à la charge de l’intimé A.R.________. IV. L’intimé A.R.________ doit verser à la recourante Q.________SA la somme de 1'400 fr. (mille quatre cents francs) à titre de dépens et de restitution d’avance de frais de deuxième instance. V. L’arrêt motivé est exécutoire. Le président :               La greffière : Du 18 mars 2015 Le dispositif de l'arrêt qui précède est communiqué par écrit aux intéressés. La greffière : Du L'arrêt qui précède, dont la rédaction a été approuvée à huis clos, est notifié en expédition complète, par l'envoi de photocopies, à : ‑ M. Youri Diserens, aab (pour Q.________SA), ‑ Me Nicolas Mattenberger (pour A.R.________).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