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278 vom 16. Februar 2015</w:t>
      </w:r>
    </w:p>
    <w:p>
      <w:r>
        <w:t>VD Tribunal cantonal, 2015-02-16, FR</w:t>
      </w:r>
    </w:p>
    <w:p>
      <w:r>
        <w:rPr>
          <w:b/>
        </w:rPr>
        <w:t xml:space="preserve">Quelle: </w:t>
      </w:r>
      <w:r>
        <w:t>https://mcp.opencaselaw.ch/entscheid/vd_findinfo_HC___2015___278</w:t>
      </w:r>
    </w:p>
    <w:p>
      <w:r>
        <w:t>FR: VD_FINDINFO HC / 2015 / 278 du 16 février 2015</w:t>
      </w:r>
    </w:p>
    <w:p>
      <w:r>
        <w:t>IT: VD_FINDINFO HC / 2015 / 278 del 16 febbraio 2015</w:t>
      </w:r>
    </w:p>
    <w:p>
      <w:pPr>
        <w:pStyle w:val="Heading2"/>
      </w:pPr>
      <w:r>
        <w:t>Regeste</w:t>
      </w:r>
    </w:p>
    <w:p>
      <w:r>
        <w:t>ASSISTANCE JUDICIAIRE, INDEMNITÉ{EN GÉNÉRAL}, RÉDUCTION{EN GÉNÉRAL} | 110 CPC (CH), 122 CPC (CH), 320 CPC (CH), 322 al. 1 CPC (CH), 2 al. 1 RAJ</w:t>
      </w:r>
    </w:p>
    <w:p>
      <w:pPr>
        <w:pStyle w:val="Heading2"/>
      </w:pPr>
      <w:r>
        <w:t>Erwägungen</w:t>
      </w:r>
    </w:p>
    <w:p>
      <w:r>
        <w:rPr>
          <w:b/>
        </w:rPr>
        <w:t>E. 1</w:t>
      </w:r>
    </w:p>
    <w:p>
      <w:r>
        <w:t>L’art. 110 CPC ouvre la voie du recours séparé de l’art. 319 let. b ch. 1 CPC (Code de procédure civile suisse du 19 décembre 2008, RS 272) contre les décisions fixant l’indemnité du conseil d’office, cette indemnité étant considérée comme des frais au sens de l’art. 95 CPC (CREC 13 février 2013/52 ; Tappy, CPC commenté, Bâle 2011, n. 21 ad art. 122 CPC). L’art. 122 CPC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accordée (ATF 131 V 153 c. 1 ; Tappy, op. cit., n. 22 ad art. 122 CPC). En l’espèce, interjeté en temps utile par une partie qui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alii, Commentaire de la LTF, Berne 2009, n. 19, p. 941 ad art. 97).</w:t>
      </w:r>
    </w:p>
    <w:p>
      <w:r>
        <w:rPr>
          <w:b/>
        </w:rPr>
        <w:t>E. 3.1</w:t>
      </w:r>
    </w:p>
    <w:p>
      <w:r>
        <w:t>La recourante fait valoir que le premier juge aurait réduit les opérations annoncées dans le relevé du 13 novembre 2013 sans tenir compte des arguments développés dans son premier recours et de la réalité du travail fourni, de sorte que le prononcé ne la rémunère pas à la juste valeur des prestations. En particulier, la connaissance du russe par Me [...] aurait permis des économies de temps et d’interprète, le temps consacré à rechercher une solution transactionnelle n’aurait pas été suffisamment pris en compte, de même que l’ampleur du travail fourni et les succès obtenus. Enfin, la facture finale serait de toute manière à la charge du bénéficiaire de l’assistance judiciaire.</w:t>
      </w:r>
    </w:p>
    <w:p>
      <w:r>
        <w:rPr>
          <w:b/>
        </w:rPr>
        <w:t>E. 3.2</w:t>
      </w:r>
    </w:p>
    <w:p>
      <w:r>
        <w:t>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 Rüegg, Basler Kommentar, 2 e éd. 2013, n. 5 à 7 ad art. 122 CPC, pp. 683-684). Pour fixer la quotité de l’indemnité du conseil d’office, l’autorité cantonale doit s’inspirer des critères applicables à la modération des honoraires d’avocat (Donzallaz, Loi sur le Tribunal fédéral, Commentaire, 2008, n. 1775 ad art. 64 LTF; ATF 122 l 1 c. 3a). Dans le canton de Vaud, l’art. 2 al. 1 RAJ (règlement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Cette disposition codifie la jurisprudence antérieure rendue sous l’empire de l’ancienne loi sur l’assistance judiciaire.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 ATF 117 la 22 précité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w:t>
      </w:r>
    </w:p>
    <w:p>
      <w:r>
        <w:rPr>
          <w:b/>
        </w:rPr>
        <w:t>E. 3.3</w:t>
      </w:r>
    </w:p>
    <w:p>
      <w:r>
        <w:t>Il faut d’abord relever que, contrairement à ce que soutient la recourante, le premier juge n’a ignoré aucune des circonstances invoquées par le conseil d’office pour justifier l’importance des opérations, puisqu’il a fait état dans le prononcé attaqué de la langue maternelle russe de la cliente, du fait que l’avocate a été consultée d’urgence et que des pourparlers transactionnels ont été conduits avec deux conseils adverses successifs, par l’intermédiaire d’un collaborateur de l’étude connaissant le russe. Le premier juge a donc évalué le temps nécessaire à la mission du conseil d’office en ayant ces éléments à l’esprit. En l’espèce, c’est à juste titre que l’autorité de première instance a réduit le nombre d’heures annoncé dans le relevé des opérations de la recourante. Le nombre d’heures, soit près de 106, consacré à une procédure de divorce sur une période de 20 mois est en effet excessif ; il appartenait bien au premier juge de déterminer si une telle durée pouvait correspondre à un exercice raisonnable de la mission de conseil d’office. La lecture du relevé des opérations permet ainsi de constater que le temps consacré aux entretiens avec la cliente ou aux appels de ou à la cliente est déraisonnable, de sorte que le premier juge a légitimement réduit ces opérations. A la recourante qui avance la parfaite connaissance du russe de son collaborateur pour justifier d’un prétendu gain de temps, il faut opposer le constat que cette circonstance semble au contraire avoir rallongé de manière excessive la durée des entretiens. La recourante elle-même accrédite la motivation du premier juge qui a retenu que certaines opérations relevaient davantage du soutien moral que du travail d’avocat, lorsqu’elle affirme que « Me [...] connaît parfaitement le russe, la Russie, son histoire tourmentée et les complexités de son âme slave ». C’est donc à bon droit que le premier juge a réduit de manière individualisée chacun des entretiens ou des appels qui ont duré trop longtemps, soit pour les opérations des 19, 21 et 23 mars, 2, 11 et 25 avril, 25 juillet, 27 et 29 août, 8 et 15 octobre ainsi que 12 novembre 2012, 1 er et 7 mars 2013, et enfin 5, 25 avril et 10 septembre 2013 selon la durée rectifiée dans le prononcé. C’est également à bon droit que le premier juge a considéré que certaines opérations liées directement à la procédure de divorce, soit la rédaction de certaines écritures ou la prise de connaissance des écritures adverses, étaient d’une durée trop importante, s’agissant d’une procédure ne présentant pas de difficultés particulières, ni en fait, ni en droit. Ainsi, les réductions des opérations des 5 avril, 6 et 13 novembre 2012, ainsi que celles du 5 mars 2013 apparaissaient également justifiées. En particulier, la rédaction d’une demande ampliative pour une durée totale de plus de dix heures (opérations des 6, 7, 12, 13 et 15 novembre 2012) est manifestement exagérée. Enfin, la recourante invoque en vain les « succès obtenus », dès lors qu’en définitive les pourparlers transactionnels n’ont pas abouti et qu’elle a été relevée en cours de procédure, avant le jugement de divorce. Compte tenu du large pouvoir d’appréciation conféré par l’art. 2 RAJ au juge qui a instruit la cause et qui est par conséquent le mieux à même d’apprécier les caractéristiques concrètes de l’affaire, il n’existe donc aucun motif suffisant en l’espèce pour s’écarter de la rémunération arrêtée par le premier juge.</w:t>
      </w:r>
    </w:p>
    <w:p>
      <w:r>
        <w:rPr>
          <w:b/>
        </w:rPr>
        <w:t>E. 4</w:t>
      </w:r>
    </w:p>
    <w:p>
      <w:r>
        <w:t>Le recours doit en conséquence être rejeté et le prononcé entrepris confirmé. Les frais judiciaires de deuxième instance, par 400 fr. (art. 69 al. 3 TFJC), doivent être mis à la charge de la recourante. Par ces motifs, la Chambre des recours civile du Tribunal cantonal, en application de l'art. 322 al. 1 CPC, prononce : I. Le recours est rejeté. II. Le prononcé est confirmé. III. Les frais judiciaires de deuxième instance, par 400 fr. (quatre cents francs), sont mis à la charge de la recourante Q.________. IV. L’arrêt motivé est exécutoire. Le président :               La greffière : Du 17 février 2015 Le dispositif de l'arrêt qui précède est communiqué par écrit aux intéressés. La greffière : Du L'arrêt qui précède, dont la rédaction a été approuvée à huis clos, est notifié en expédition complète, par l'envoi de photocopies, à : ‑ Me Q.________, ‑ Me Henriette Dénéréaz Luisier (pour A.F.________). La Chambre des recours civile considère que la valeur litigieuse est de 19'020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