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271 vom 25. März 2015</w:t>
      </w:r>
    </w:p>
    <w:p>
      <w:r>
        <w:t>VD Tribunal cantonal, 2015-03-25, FR</w:t>
      </w:r>
    </w:p>
    <w:p>
      <w:r>
        <w:rPr>
          <w:b/>
        </w:rPr>
        <w:t xml:space="preserve">Quelle: </w:t>
      </w:r>
      <w:r>
        <w:t>https://mcp.opencaselaw.ch/entscheid/vd_findinfo_HC___2015___271</w:t>
      </w:r>
    </w:p>
    <w:p>
      <w:r>
        <w:t>FR: VD_FINDINFO HC / 2015 / 271 du 25 mars 2015</w:t>
      </w:r>
    </w:p>
    <w:p>
      <w:r>
        <w:t>IT: VD_FINDINFO HC / 2015 / 271 del 25 marzo 2015</w:t>
      </w:r>
    </w:p>
    <w:p>
      <w:pPr>
        <w:pStyle w:val="Heading2"/>
      </w:pPr>
      <w:r>
        <w:t>Regeste</w:t>
      </w:r>
    </w:p>
    <w:p>
      <w:r>
        <w:t>BAIL À LOYER, EXPULSION DE LOCATAIRE, DEMEURE DU DÉBITEUR, CAS CLAIR, RESTITUTION DU DÉLAI, DÉFAUT{CONTUMACE} | 257d CO, 148 al. 1 CPC, 149 CPC (CH), 257 al. 1 CPC (CH)</w:t>
      </w:r>
    </w:p>
    <w:p>
      <w:pPr>
        <w:pStyle w:val="Heading2"/>
      </w:pPr>
      <w:r>
        <w:t>Erwägungen</w:t>
      </w:r>
    </w:p>
    <w:p>
      <w:r>
        <w:rPr>
          <w:b/>
        </w:rPr>
        <w:t>E. 1</w:t>
      </w:r>
    </w:p>
    <w:p>
      <w:r>
        <w:t>1.1.1 L’appel est recevable contre les décisions finales de première instance (art. 308 al. 1 let. a CPC), dans les causes non patrimoniales ou dont la valeur litigieuse est supérieure à 10'000 fr. (art. 308 al. 2 CPC). L’art. 319 let. a CPC ouvre la voie subsidiaire du recours conte les décisions finales qui ne peuvent pas faire l’objet d’un appel.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En l’espèce, le loyer mensuel s’élève à 1'340 francs. Au vu de la jurisprudence précitée, la valeur litigieuse de 10'000 fr. est sans conteste atteinte. 1.1.2 L’appel s’exerce en principe dans un délai de trente jours (art. 311 al. 1 CPC). Le délai d’appel est toutefois de dix jours dans toutes les décisions rendues en procédure sommaire (art. 314 al. 1 CPC).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Formé en temps utile (art. 311 al. 1 CPC), par la partie locataire qui a succombé en première instance et qui a un intérêt à l’appel (art. 59 al. 2 let. a CPC), l'appel dirigé contre l’ordonnance d’expulsion est recevable</w:t>
      </w:r>
    </w:p>
    <w:p>
      <w:r>
        <w:rPr>
          <w:b/>
        </w:rPr>
        <w:t>E. 1.2</w:t>
      </w:r>
    </w:p>
    <w:p>
      <w:r>
        <w:t>L’appel est également dirigé contre la décision de la Juge de paix du 4 mars 2015 rejetant la demande de restitution de délai à forme de l’art. 148 CPC.</w:t>
      </w:r>
    </w:p>
    <w:p>
      <w:r>
        <w:rPr>
          <w:b/>
        </w:rPr>
        <w:t>E. 1.2.1</w:t>
      </w:r>
    </w:p>
    <w:p>
      <w:r>
        <w:t>Selon l’art. 149 CPC, le tribunal statue définitivement sur la restitution. En doctrine, la solution adoptée par le législateur est comprise en ce sens qu'une décision d'octroi ou de refus de restitution n'est jamais susceptible d'un recours immédiat, c'est-à-dire du recours qui est éventuellement recevable contre des décisions ou ordonnances d'instruction d'après l' art. 319 let. b ch. 2 CPC . Les auteurs admettent toutefois que cette décision peut être attaquée avec la décision finale intervenant plus tard, parce que, la procédure étant alors terminée par cette décision finale, la contestation n'entraîne plus aucun retard (TF 4A_281/2012 du 22 mars 2013 c. 1.1 ; CACI 25 août 2014/448 c. 1b ; Frei, Berner Kommentar, 2013 n. 11 ad art. 149 CPC ; Staehelin, Kommentar zur Schweizerischen Zivilprozessordnung, Sutter-Somm/Hasenböhler/Leuenberger Hrsg, 2 e éd., 2013, n. 4 ad art. 149 CPC ; Staehelin/Staehelin/Grolimund, Zivilprozessrecht, 2 e éd, 2013, n° 16a, p. 281 ; Tappy, CPC commenté, 2011, n. 12 ad art. 149 CPC). Cette approche réalise un équilibre entre le principe de célérité avancé par le Conseil fédéral, motivant l'exclusion de tout recours selon le libellé de l' art. 149 CPC , et la protection juridique à assurer aux plaideurs. L'octroi ou le refus d'une restitution n'est cependant envisagé que comme une décision ou ordonnance de procédure qui sera suivie d'une décision finale, laquelle pourra être contestée par la voie de l'appel ou du recours. Il est vrai que l'octroi d'une restitution n'est jamais une décision finale en tant que, précisément, elle permet l'accomplissement d'un acte de procédure par la partie défaillante, dans le délai restitué, ou la tenue d'une nouvelle audience. Le refus de restitution est en revanche une décision finale lorsque l'autorité de conciliation ou le tribunal de première instance a déjà clos la procédure et que la requête de la partie défaillante tend à la faire rouvrir (ATF 139 III 478)</w:t>
      </w:r>
    </w:p>
    <w:p>
      <w:r>
        <w:rPr>
          <w:b/>
        </w:rPr>
        <w:t>E. 1.2.2</w:t>
      </w:r>
    </w:p>
    <w:p>
      <w:r>
        <w:t>En l’espèce, le refus de restitution est une décision finale, la juge de paix ayant rendu sa décision sur le fond le 22 janvier 2015. Il y a donc lieu de d’admettre, conformément à la jurisprudence précitée et en application du principe d’économie de procédure, que l’appel est également recevable contre le refus de restitution du 5 mars 2015.</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 Spühler, Commentaire bâlois, n. 1 ad art. 311 ZPO, qui parle de "vollkommenes Rechtsmittel").</w:t>
      </w:r>
    </w:p>
    <w:p>
      <w:r>
        <w:rPr>
          <w:b/>
        </w:rPr>
        <w:t>E. 2.2</w:t>
      </w:r>
    </w:p>
    <w:p>
      <w:r>
        <w:t>La nature particulière de la procédure sommaire pour cas clairs (art. 257 CPC) impose au juge d’appel d’évaluer les faits sur la base des preuves déjà appréciées par le premier juge saisi; la production de pièces nouvelles est ainsi exclue , même celles qui sont visées par l’art. 317 al. 1 CPC (TF 4A_420/2012 du 7 novembre 2012 c. 5; TF 4A_312/2013 du 17 octobre 2013 c. 3.2; cf. CACI 25 novembre 2014/607 c. 3a; CACI 6 mars 2014/102 c. 2b; CACI 10 juin 2013/289 c. 4a; CACI 6 mai 2013/237 c. 5a). En l’espèce, l’appelant a produit, outre l’ordonnance attaquée, un contrat de bail à loyer signé le 19 mars 2014, distinct de celui produit par l’intimée en première instance, qui porte la même date. Au vu de la jurisprudence précitée, cette pièce nouvelle est irrecevable.</w:t>
      </w:r>
    </w:p>
    <w:p>
      <w:r>
        <w:rPr>
          <w:b/>
        </w:rPr>
        <w:t>E. 3.1</w:t>
      </w:r>
    </w:p>
    <w:p>
      <w:r>
        <w:t>L’appelant conteste le refus de restitution de délai. Il indique qu’il était absent durant la période de fin d’année, ce que son bailleur savait, qu’il n’a pas reçu la citation datée du 16 décembre 2014 et qu’il n’a donc pris connaissance de la procédure qu’à la notification de l’ordonnance attaquée.</w:t>
      </w:r>
    </w:p>
    <w:p>
      <w:r>
        <w:rPr>
          <w:b/>
        </w:rPr>
        <w:t>E. 3.2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 la requête est présentée dans les dix jours qui suivent celui où la cause du défaut a disparu (al. 2) ; si une décision a été communiquée, la restitution ne peut être requise que dans les six mois qui suivent l’entrée en force de la décision (al. 3). L’art. 148 CPC peut s’appliquer à toute audience manquée, même si une décision a été communiquée à la suite de ce défaut, cette décision étant alors mise à néant si la restitution est accordée (Tappy, op. cit., n. 5 ad art. 148 CPC). L’art. 148 CPC soumet une éventuelle restitution à des exigences formelles, notamment une requête et le respect de délais (Tappy, ibid., n. 11 et 22 ad art. 148 CPC). Conformément à l’art. 148 al. 2 CPC, la restitution n’est ainsi possible que si la requête est présentée dans les dix jours qui suivent celui où la cause du défaut a disparu (Tappy, ibid., n. 25 ad art. 148 CPC). La notion de faute légère est nouvelle. Cet élargissement – seule la notion d'absence de faute était connue avant l'entrée en vigueur du nouveau CPC le 1 er janvier 2011 – a d'ailleurs failli être supprimé par les Chambres fédérales (Tappy, CPC commenté, op. cit., n. 14-15 ad art. 148 CPC). Recourant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pourrait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 inexpérimentée ou d'un plaideur chevronné, voire d'un avocat. Cette liberté d'appréciation est d'autant plus grande que l'art. 148 CPC est formulé comme une "Kann-Vorschrift". Cela pourrait permettre à l'autorité compétente de refuser un délai même si les conditions requises par cette disposition sont remplies. Elle ne saurait certes agir arbitrairement, mais cette formulation pourrait justifier des pratiques variables selon les circonstances, le type de procédure, la nature du délai, etc. (Tappy, op. cit., n. 19-20 ad art. 148 CPC). Toutefois, celui qui était au courant du délai et l'a sciemment ignoré ne commet pas une faute seulement légère, quelles que soient les situations particulières qu'il pourrait invoquer (Tappy, ibid., n. 16 ad art. 148 CPC).</w:t>
      </w:r>
    </w:p>
    <w:p>
      <w:r>
        <w:rPr>
          <w:b/>
        </w:rPr>
        <w:t>E. 3.3</w:t>
      </w:r>
    </w:p>
    <w:p>
      <w:r>
        <w:t>L’appelant explique que la partie adverse a résilié son bail le 14 septembre 2014 pour le 31 octobre 2014, qu’il était absent durant cette période pour cause de service militaire, ce que son bailleur savait, qu’il n’a pris connaissance de cette résiliation qu’à son retour à la fin du mois d’octobre 2014 et qu’il n’a pas non plus été en mesure de prendre connaissance de la convocation de l’autorité de première instance, puisqu’il était absent en fin d’année. En l’occurrence, les divers manquements de l’appelant sont insuffisamment expliqués et étayés. En effet, ce dernier ne parle que d’absences lors des diverses notifications qui sont intervenues, sans toutefois les expliquer ou alors les documenter d’une quelconque manière s’agissant par exemple de son service militaire. Ainsi, il explique, de manière totalement insuffisante, les motifs de ses divers défauts et ne rend donc ainsi aucunement vraisemblable que ceux-ci ne lui seraient pas imputables ou ne seraient dus qu’à des fautes légères. Par ailleurs, selon ses propres allégations, l’appelant a bel et pris connaissance de la résiliation de son bail à la fin du mois d’octobre. Il devait par conséquent s’attendre à la procédure judiciaire qui s’en est suivie et tout mettre en œuvre pour y participer. Sur le vu de ce qui précède, c’est à juste titre que le premier juge a rejeté la requête de restitution. La gravité des conséquences d’une telle décision ne suffit pas à retenir le contraire.</w:t>
      </w:r>
    </w:p>
    <w:p>
      <w:r>
        <w:rPr>
          <w:b/>
        </w:rPr>
        <w:t>E. 4.1</w:t>
      </w:r>
    </w:p>
    <w:p>
      <w:r>
        <w:t>L’appelant conteste qu’il puisse s’agir d’un cas clair. Il relève tout d’abord qu’il n’a reçu aucune formule de notification de loyer initial à son entrée dans les locaux, de sorte que son contrat est partiellement nul en tant qu’il porte sur la fixation du loyer initial et qu’il ne peut par conséquent tomber en demeure. Il soutient également que le montant du loyer fixé entre les parties est litigieux, deux contrats distincts, avec des loyers différents, ayant été signés. Il estime dès lors que la requête d’expulsion dans la procédure applicable aux cas clairs aurait dû être déclarée irrecevable. 4.2.1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 3.2.1 ; TF 4A_87/2012 du 10 avril 2012 c. 3.1.1 et les références). 4.2.2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Ainsi, lorsqu’il n’a pas réglé l’arriéré dans le délai comminatoire prévu par l’art. 257d CC, le locataire est en demeure et doit subir les conséquences juridiques de l’alinéa 2 de cette disposition (ATF 127 III 548 c. 4), cela même si l’arriéré a finalement été payé (TF 7 février 1997, in Cahiers du bail [CdB] 3/97 pp. 65 ss).</w:t>
      </w:r>
    </w:p>
    <w:p>
      <w:r>
        <w:rPr>
          <w:b/>
        </w:rPr>
        <w:t>E. 4.3</w:t>
      </w:r>
    </w:p>
    <w:p>
      <w:r>
        <w:t>En l’espèce, l’argumentation de l’appelant repose exclusivement sur des faits et moyens de preuve nouveaux qui n’ont jamais été portés à la connaissance du premier juge, l’appelant n’ayant pas procédé et ayant fait défaut à l’audience d’expulsion. Dès lors que ces nova sont irrecevables (cf. c. 2.2. supra), il y a lieu de confirmer l’application de la procédure d’expulsion dans les cas clairs, l’appelant ne contestant au surplus pas avoir reçu l’avis comminatoire de l’art. 257d CO ni ne soutenant avoir réglé l’arriéré de loyer dans le délai imparti. Au demeurant, à supposer que l’appelant n’ait reçu aucune formule de loyer initial à son entrée dans les locaux comme il le soutient sans que cela ne soit établi, il commet un abus de droit en invoquant le vice de forme, alors qu’il a régulièrement versé son loyer et a attendu qu’il soit statué sur son expulsion pour le faire valoir (TF 4C.315/2000 du 5 février 2011 c. 4a et c, in CdB 2001 p. 79 ; TF 4A_38/2013 du 12 avril 2013 c. 2.2).</w:t>
      </w:r>
    </w:p>
    <w:p>
      <w:r>
        <w:rPr>
          <w:b/>
        </w:rPr>
        <w:t>E. 5.1</w:t>
      </w:r>
    </w:p>
    <w:p>
      <w:r>
        <w:t>Sur le vu de ce qui précède, l’appel doit être rejeté dans la mesure de sa recevabilité et l’ordonnance confirmée. L’appel apparaissant d’emblée dépourvu de chance de succès, la requête d’assistance judiciaire de l’appelant sera rejetée (art. 117 let. b et 119 al. 3 CPC). Les frais judiciaires de deuxième instance, arrêtés à 100 fr. (art. 62 al. 1 et 3 TFJC [tarif des frais judiciaires civils du 28 septembre 2010 ; RSV 270.11.5]), seront mis à la charge de l’appelant qui succombe (art. 106 al. 1 (CPC). Il n’y a pas lieu à l’allocation de dépens, l’intimée n’ayant pas été invitée à se déterminer.</w:t>
      </w:r>
    </w:p>
    <w:p>
      <w:r>
        <w:rPr>
          <w:b/>
        </w:rPr>
        <w:t>E. 5.2</w:t>
      </w:r>
    </w:p>
    <w:p>
      <w:r>
        <w:t>Le délai de libération des locaux étant échu du fait de l’effet suspensif accordé à l’appel, il convient de renvoyer la cause au premier juge pour qu’il fixe à l’appelant un nouveau délai pour libérer les locaux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