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270 vom 10. März 2015</w:t>
      </w:r>
    </w:p>
    <w:p>
      <w:r>
        <w:t>VD Tribunal cantonal, 2015-03-10, FR</w:t>
      </w:r>
    </w:p>
    <w:p>
      <w:r>
        <w:rPr>
          <w:b/>
        </w:rPr>
        <w:t xml:space="preserve">Quelle: </w:t>
      </w:r>
      <w:r>
        <w:t>https://mcp.opencaselaw.ch/entscheid/vd_findinfo_HC___2015___270</w:t>
      </w:r>
    </w:p>
    <w:p>
      <w:r>
        <w:t>FR: VD_FINDINFO HC / 2015 / 270 du 10 mars 2015</w:t>
      </w:r>
    </w:p>
    <w:p>
      <w:r>
        <w:t>IT: VD_FINDINFO HC / 2015 / 270 del 10 marzo 2015</w:t>
      </w:r>
    </w:p>
    <w:p>
      <w:pPr>
        <w:pStyle w:val="Heading2"/>
      </w:pPr>
      <w:r>
        <w:t>Regeste</w:t>
      </w:r>
    </w:p>
    <w:p>
      <w:r>
        <w:t>MESURE DE CONTRAINTE{DROIT DES ÉTRANGERS}, RENVOI{DROIT DES ÉTRANGERS}, DÉTENTION AUX FINS D'EXPULSION | 76 al. 1 let. b ch. 3 LEtr, 76 al. 1 let. b ch. 4 LEtr, 80 al. 6 let. a LEtr, 15 LVLEtr, 16 LVLEtr</w:t>
      </w:r>
    </w:p>
    <w:p>
      <w:pPr>
        <w:pStyle w:val="Heading2"/>
      </w:pPr>
      <w:r>
        <w:t>Erwägungen</w:t>
      </w:r>
    </w:p>
    <w:p>
      <w:r>
        <w:rPr>
          <w:b/>
        </w:rPr>
        <w:t>E. 1</w:t>
      </w:r>
    </w:p>
    <w:p>
      <w:r>
        <w:t>Selon l’art. 30 al. 1 LVLEtr (loi du 18 décembre 2007 d’application dans le Canton de Vaud de la législation fédérale sur les étrangers;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du 12 décembre 1979 d’organisation judiciaire; RSV 173.01] et art. 18 al. 3 let. c ROTC [règlement organique du Tribunal cantonal du 13 novembre 2007; RSV 173.31.11]). Interjeté dans les dix jours dès la notification de la décision attaquée, le recours est recevable (art. 30 al. 2 LVLEtr).</w:t>
      </w:r>
    </w:p>
    <w:p>
      <w:r>
        <w:rPr>
          <w:b/>
        </w:rPr>
        <w:t>E. 2</w:t>
      </w:r>
    </w:p>
    <w:p>
      <w:r>
        <w:t>Le juge de paix du district de Lausanne est l’autorité compétente en vertu des art. 17 et 20 LVLEtr. Il a été saisi d’une requête motivée et documentée du SPOP du 9 février 2015. II a procédé à l’audition du recourant et a résumé ses déclarations dans ce qu’elles avaient d’utile (art. 21 al. 1 et 2 LVLEtr). La procédure suivie a ainsi été régulière, contrairement à ce que soutient le recourant (cf. c. 3 ci-dessous). La Chambre des recours civile revoit librement la décision de première instance. Elle établit les faits d’office et peut ordonner à cet effet toutes les mesures d’instruction qu’elle juge utiles (art. 31 al. 1 et 3 LVLEtr). Elle peut en particulier tenir compte de faits postérieurs à la décision attaquée.</w:t>
      </w:r>
    </w:p>
    <w:p>
      <w:r>
        <w:rPr>
          <w:b/>
        </w:rPr>
        <w:t>E. 3</w:t>
      </w:r>
    </w:p>
    <w:p>
      <w:r>
        <w:t>Dans un premier grief, le recourant fait valoir la violation des art. 15 et 16 LVLEtr. A ses yeux, il serait impossible de vérifier le respect du délai de 24 heures par le premier juge. Selon l’art. 16 al. 1 LVLEtr, la personne retenue par la police sur réquisition du SPOP doit être entendue par le juge de paix dans les 24 heures. Le SPOP a mandaté la police le 7 janvier 2015 afin d’organiser le départ de l’intéressé pour le jour de sortie de prison où il purgeait une peine privative de liberté. La peine privative de liberté du recourant était prévue jusqu’au 12 février 2015. Le SPEN a accepté sa libération le 9 février 2015 en vue de son renvoi de Suisse. Le 9 février 2015, le recourant a refusé d’embarquer sur le vol organisé, qui était prévu à 16h30. A la suite de ce refus, le SPEN a donné son accord le 10 février 2015 à 8h55 pour que le recourant soit libéré de sa détention pénale et placé en détention administrative. Le recourant a été auditionné par le juge de paix le 10 février 2015 à 10h30. Le délai d’audition dans les 24 heures a été respecté, que l’on tienne compte du refus de l’embarquement du 9 février 2015, à 16h 30, ou de la libération formelle par le SPEN du 10 février 2015, à 8h 55. Le grief soulevé par le recourant, mal fondé, doit ainsi être rejeté.</w:t>
      </w:r>
    </w:p>
    <w:p>
      <w:r>
        <w:rPr>
          <w:b/>
        </w:rPr>
        <w:t>E. 4</w:t>
      </w:r>
    </w:p>
    <w:p>
      <w:r>
        <w:t>Le recourant fait ensuite valoir que l’art. 80 al. 6 let. a LEtr, selon lequel la détention est levée notamment lorsque l’exécution du renvoi ou de l’expulsion s’avère impossible pour des raisons juridiques ou matérielles, serait applicable à son cas. Il soutient en effet qu’il n’y aurait aucun vol spécial pour la [...] et invoque, à l’appui de son argument, une jurisprudence du Tribunal fédéral qui avait admis la levée de détention de Nigérians en raison de la suppression de vols spéciaux à destination du Nigéria. En l’espèce, on ne saurait tenir l’exécution du renvoi pour impossible, pour des raisons juridiques ou matérielles. En effet, aucun élément au dossier ne permet d’inférer que le renvoi par vol spécial à destination de [...] serait interrompu. Le SPOP indique être dans l’attente de la fixation d’un vol spécial, après avoir inscrit le recourant sur un tel vol en date du 10 février 2015. Au demeurant, le renvoi par vol spécial ne s’impose pas (cf. TF 2C_624/2011 du 12 septembre 2011 c. 3). Pour le surplus, l’argument relatif à la situation personnelle du recourant et, en particulier, de ses problèmes médicaux a été examiné par le SEM puis par le TAF avant d’être écarté. En l’occurrence, aucun élément nouveau n’étaye les déclarations du recourant au stade du recours, de sorte qu’il n’y a pas lieu de revenir sur ce point.</w:t>
      </w:r>
    </w:p>
    <w:p>
      <w:r>
        <w:rPr>
          <w:b/>
        </w:rPr>
        <w:t>E. 5</w:t>
      </w:r>
    </w:p>
    <w:p>
      <w:r>
        <w:t>Contrairement à ce que soutient le recourant, le SPOP a procédé à la préparation du renvoi – qui ne faisait aucun doute comme l’admet le recourant lui-même – également durant la détention pénale de l’intéressé (ATF 124 Il 49, JT 2000 IV 13 c. 3a), ce que confirment les mesures prises par cette autorité en vue d’organiser le renvoi. Au demeurant, les efforts du SPOP ont abouti à l’organisation du vol du 9 février 2015, sur lequel le recourant a refusé d’embarquer, empêchant son renvoi pas son propre comportement. Cette autorité a indiqué avoir procédé à l’inscription du recourant en date du 10 février 2015 sur un vol spécial. Aucune raison sérieuse ne laisse penser que la mesure d’éloignement ne pourra pas intervenir avant la fin du délai légal de détention (ATF 122 lI 148 c. 3 p. 152 s.). D’ailleurs, comme déjà mentionné, le renvoi par vol spécial ne s’impose pas (cf. TF 2C_624/2011 du 12 septembre 2011 c. 3). Partant, le moyen soulevé par le recourant doit être écarté.</w:t>
      </w:r>
    </w:p>
    <w:p>
      <w:r>
        <w:rPr>
          <w:b/>
        </w:rPr>
        <w:t>E. 6</w:t>
      </w:r>
    </w:p>
    <w:p>
      <w:r>
        <w:t>Le premier juge a retenu que le recourant n’avait aucun titre de séjour valable pour l’Italie, de sorte que le renvoi dans ce pays était impossible. Dans la mesure où le recourant soutient qu’il y aurait lieu de vérifier cette question, elle ne peut faire l’objet de la présente procédure de détention en vue d’un renvoi, mais bien de celle de l’asile, dont il ne ressort pas autre chose.</w:t>
      </w:r>
    </w:p>
    <w:p>
      <w:r>
        <w:rPr>
          <w:b/>
        </w:rPr>
        <w:t>E. 7</w:t>
      </w:r>
    </w:p>
    <w:p>
      <w:r>
        <w:t>Compte tenu de ce qui précède, le recours doit être rejeté et l’ordonnance entreprise confirmée. L’arrêt peut être rendu sans frais (art. 50 LPA-VD [loi sur la procédure administrative du 28 octobre 2008 ; RSV 173.36]). Selon l’art. 25 al. 1 LVLEtr, lorsque la personne détenue est indigente, le conseil d’office reçoit une indemnité à la charge de la caisse de l’Etat, les dispositons relatives à la rémunération des défenseurs d’office en matière pénale étant applicables. En sa qualité de conseil d’office, Me Frank Tièche a produit une liste d’opérations en date du 5 mars 2015 indiquant 530 minutes consacrées au dossier. Après examen, il apparaît que le temps consacré à certaines opérations est excessif et doit être réduit. En effet, seules 5 minutes (au lieu de 10 minutes) seront comptabilisées pour les courriers usuels, 1h (au lieu de 2h) pour l’étude du dossier et les recherches juridiques, la cause n’étant pas complexe, et 45 minutes (au lieu de 60 minutes) pour l’entretien avec le client, la présence d’un traducteur étant censée faciliter cet entretien. Partant, un total de 435 minutes sera retenu. Compte tenu d’un tarif horaire de 180 fr., l’indemnité doit être fixée à 1'423 fr. 45, soit 1'409 fr. 40 d’honoraires, TVA comprise, et 14 fr. 05 de débours, TVA comprise. Par ces motifs, la Chambre des recours civile du Tribunal cantonal, prononce : I. Le recours est rejeté. II. L’ordonnance est confirmée. III. L’arrêt est rendu sans frais. IV. L’indemnité de Me Frank Tièche, conseil d’office du recourant, est arrêtée à 1'423 fr. 45 (mille quatre cent vingt-trois francs et quarante-cinq centimes), TVA et débours compris. V. L’arrêt motivé est exécutoire. Le président :               La greffière : Du</w:t>
      </w:r>
    </w:p>
    <w:p>
      <w:r>
        <w:rPr>
          <w:b/>
        </w:rPr>
        <w:t>E. 11</w:t>
      </w:r>
    </w:p>
    <w:p>
      <w:r>
        <w:t>mars 2015 Le dispositif de l'arrêt qui précède est communiqué par écrit aux intéressés. La greffière : Du L'arrêt qui précède, dont la rédaction a été approuvée à huis clos, est notifié en expédition complète, par l'envoi de photocopies, à : ‑ Me Frank Tièche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